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DE3A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1、直肠测压管参数</w:t>
      </w:r>
    </w:p>
    <w:p w14:paraId="4CA52741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所投产品需在省标目录内。用于与尿动力检查仪配套，供临床对直肠内压力进行测量。需匹配维信Nidoc970B尿动力学分析仪器。管体尺寸为 3.3mm（10Fr）。管采用医用聚氨酯制成，球囊是采用医用乳胶制成，球囊大小为5ml。直肠测压管内腔畅通，无异物、杂质，管端头内孔光滑、无锋棱。直肠测压管有清晰分度线。</w:t>
      </w:r>
    </w:p>
    <w:p w14:paraId="6EF889AC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03874E28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06F9F8D6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、创面修复生物材料参数</w:t>
      </w:r>
    </w:p>
    <w:p w14:paraId="322CF2A0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所投产品需在省标目录内。用于修复软组织和骨组织创面，防止创面感染。具备医疗器械三类注册证。产品主要成分为：SiO2:44.0%～48.0%， CaO:22.0%～27.0%， Na2O: 22.0%～27.0%，，P2O5:5.0%～7.0%。一次性无菌包装。1.0g/瓶。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4897DB0A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3F05F25C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、HLA-B*1301基因检测试剂盒（PCR-荧光探针法）参数</w:t>
      </w:r>
    </w:p>
    <w:p w14:paraId="6347A862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所投产品需在省标目录内。用于患者的用药指导，避免药物不良反应，人外周静脉血DNA中HLA-B位点基因型的定性检测，不区分纯合型和杂合型。需匹配伯乐CFX96 Touch实时定量PCR分析仪。有效期≥12个月。为确保等位基因的准确测定，优选对等位基因的多个特定区域进行特异性扩增的检测试剂。准确度：检测企业参考品，符合率为100%。精密度：变异系数≤5%。特异性：检测企业参考品，检测结果符合率为100%。抗干扰：试剂盒检测不受样本中内源性及药源性干扰物质影响。</w:t>
      </w:r>
    </w:p>
    <w:p w14:paraId="6B008D25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00B0ADFC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、一次性使用血样采集连接头参数</w:t>
      </w:r>
    </w:p>
    <w:p w14:paraId="356F379D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与静脉留置针和采血试管连接，从受试者静脉抽取多管血样进行检测，以保证药物临床试验的顺利进行。由穿刺针、穿刺针封套、患者端护帽、非患者端护帽和针座组成。材质为：304 不锈钢、聚异戊二烯橡胶、聚丙烯、聚乙烯、聚苯乙烯。可采≥8管血液、≤25管血液。</w:t>
      </w:r>
    </w:p>
    <w:p w14:paraId="3D880512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591542B4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580D2B9C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、血液净化装置的体外循环血路参数</w:t>
      </w:r>
    </w:p>
    <w:p w14:paraId="09617120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血液持续净化系统做CVVH、CVVHD、CVVHDF、MPS（膜式血浆置换）和HP（血液灌流）治疗模式。需匹配贝朗7106505血液持续净化系统，配备管路、传感器保护器、置换液袋、透析液袋、废液袋、加温袋。一次性无菌包装。</w:t>
      </w:r>
    </w:p>
    <w:p w14:paraId="43882B4E">
      <w:pPr>
        <w:jc w:val="left"/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1A46C8C9">
      <w:pPr>
        <w:jc w:val="left"/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5D949E94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、尿生化多项质控品参数</w:t>
      </w:r>
    </w:p>
    <w:p w14:paraId="677DE86A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实验室尿微量白蛋白项目的室内质控。至少提供两个水平的质控品。需匹配西门子BNII特定蛋白分析仪及贝克曼AU5800全自动生化分析仪设备。试剂应由人尿液制备，其中添加化学品,人源和动物源成分,稳定剂和防腐剂。以液体形式提供。在2至8 ℃下未开封贮存时，产品应在有效期内保持稳定。开封后，在2至8 ℃下盖紧瓶盖贮存时，产品的稳定期应在30天左右。</w:t>
      </w:r>
    </w:p>
    <w:p w14:paraId="21BA6D31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6E8FF18B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56798F22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、生化多项质控物参数</w:t>
      </w:r>
    </w:p>
    <w:p w14:paraId="326699CF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贝克曼AU5800全自动生化分析仪检验项目的日常质控检测。需匹配贝克曼AU5800全自动生化分析仪。至少包含项目：总胆红素、直接胆红素、高密度脂蛋白胆固醇、低密度脂蛋白胆固醇、二氧化碳、胆碱酯酶。分装后能保存1个月。至少提供两个水平的质控品。</w:t>
      </w:r>
    </w:p>
    <w:p w14:paraId="7573624E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03C16358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0EC061A6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、特殊免疫质控品参数</w:t>
      </w:r>
    </w:p>
    <w:p w14:paraId="35C1D6FA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贝克曼DXI800全自动化学免疫分析仪中PCT、PTH的每日质控。需匹配贝克曼DXI800全自动化学免疫分析仪。能够满足贝克曼DXI800以下项目质控：至少包含PCT、PTH等项目。开封前，能够长期保存。分装后能稳定保存30天左右。可在2-8°C保存。至少提供两个水平的质控品，能够覆盖临床临界值，能够提供靶值参考。质控品应尽可能降低基质效应，不影响检测结果的准确性和特异性。同一批质控品主要项目的瓶间CV应≤1/3TEA，其分析物浓度应均匀一致。质控品应具有良好的互换性，其检测结果与患者样本在相同检测系统的结果具有可比性。</w:t>
      </w:r>
    </w:p>
    <w:p w14:paraId="41BB8073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529D0C18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59260471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、液体免疫学和蛋白质控品参数</w:t>
      </w:r>
    </w:p>
    <w:p w14:paraId="3D68CDE5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贝克曼AU5800全自动生化分析仪及西门子化学发光免疫分析仪Immulite2000Xpi检验项目的日常质控检测。需匹配贝克曼AU5800全自动生化分析仪及西门子化学发光免疫分析仪Immulite2000Xpi设备。至少包含项目：前白蛋白、β-2微球蛋白、载脂蛋白B、半胱氨酸蛋白酶抑制剂C、免疫球蛋白E，分装后可保存20天以上。至少提供两个水平的质控品。</w:t>
      </w:r>
    </w:p>
    <w:p w14:paraId="0BB35CFF">
      <w:pPr>
        <w:jc w:val="left"/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47932672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7BC3DF91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、肿瘤标记质控物参数</w:t>
      </w:r>
    </w:p>
    <w:p w14:paraId="43D9F407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所投产品需在省标目录内。用于监测实验室人附睾蛋白4、胃泌素释放肽前体、细胞角蛋白19片段、鳞状细胞癌相关抗原测定等项目的精密度。需匹配雅培化学发光免疫分析仪i2000SR。试剂应由人源材料制备，其中添加化学品,人源和动物源成分,稳定剂和防腐剂。为便于使用，以液体形式提供。至少提供两个水平的质控品。在-20至-70 ℃下未开封贮存时，产品应在有效期内保持稳定。解冻未开封:解冻后在2至8 ℃下未开封贮存时，产品的稳定期大于等于60天。解冻并开封:解冻并开封后，在2至8 ℃下盖紧瓶盖贮存时，产品的稳定期大于等于30天。分装冷冻:解冻并开封后，在-20至-70 ℃下盖紧瓶盖贮存于分装瓶内时，产品的稳定期大于等于30天。</w:t>
      </w:r>
    </w:p>
    <w:p w14:paraId="07D12334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  <w:t>招标现场</w:t>
      </w:r>
      <w:r>
        <w:rPr>
          <w:rFonts w:hint="eastAsia" w:ascii="仿宋" w:hAnsi="仿宋" w:eastAsia="仿宋" w:cs="仿宋"/>
          <w:color w:val="444444"/>
          <w:sz w:val="30"/>
          <w:szCs w:val="30"/>
          <w:shd w:val="clear" w:color="auto" w:fill="FFFFFF"/>
        </w:rPr>
        <w:t>需提供样品。</w:t>
      </w:r>
    </w:p>
    <w:p w14:paraId="17C67546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p w14:paraId="0E16EF2A">
      <w:pPr>
        <w:jc w:val="left"/>
        <w:rPr>
          <w:rFonts w:ascii="仿宋" w:hAnsi="仿宋" w:eastAsia="仿宋" w:cs="仿宋"/>
          <w:color w:val="444444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C2"/>
    <w:rsid w:val="003E676F"/>
    <w:rsid w:val="00652117"/>
    <w:rsid w:val="00924EC2"/>
    <w:rsid w:val="00D22C56"/>
    <w:rsid w:val="00F84C37"/>
    <w:rsid w:val="00FB69F8"/>
    <w:rsid w:val="148137BC"/>
    <w:rsid w:val="1A4E34E2"/>
    <w:rsid w:val="2826006E"/>
    <w:rsid w:val="4C6844F6"/>
    <w:rsid w:val="4EF15C0F"/>
    <w:rsid w:val="5F504060"/>
    <w:rsid w:val="6B1B42E7"/>
    <w:rsid w:val="6B310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2931</Words>
  <Characters>3377</Characters>
  <Lines>24</Lines>
  <Paragraphs>6</Paragraphs>
  <TotalTime>2</TotalTime>
  <ScaleCrop>false</ScaleCrop>
  <LinksUpToDate>false</LinksUpToDate>
  <CharactersWithSpaces>3407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2025-11-16T18:33:00Z</dcterms:created>
  <dc:creator>Administrator</dc:creator>
  <cp:lastModifiedBy>pH</cp:lastModifiedBy>
  <dcterms:modified xsi:type="dcterms:W3CDTF">2025-11-24T12:52:01Z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eyJoZGlkIjoiY2YzNGVlNGUwNzBmYTNlMjlhYTcxZWJlYzAzMmI4ODgiLCJ1c2VySWQiOiIxMjE3NTg2MjUwIn0=</vt:lpwstr>
  </property>
  <property fmtid="{D5CDD505-2E9C-101B-9397-08002B2CF9AE}" pid="4" name="ICV">
    <vt:lpwstr>62E107BDAEE34C7A8D9C2CF139C42A66_13</vt:lpwstr>
  </property>
</Properties>
</file>