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CA82">
      <w:pPr>
        <w:rPr>
          <w:rFonts w:hint="eastAsia" w:asciiTheme="majorEastAsia" w:hAnsiTheme="majorEastAsia" w:eastAsiaTheme="majorEastAsia" w:cstheme="majorEastAsia"/>
          <w:lang w:val="en-US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1、中空纤维膜式氧合器参数</w:t>
      </w:r>
    </w:p>
    <w:p w14:paraId="76F53DC9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所投产品需在省标目录内。用于</w:t>
      </w:r>
      <w:r>
        <w:rPr>
          <w:rFonts w:hint="eastAsia" w:asciiTheme="majorEastAsia" w:hAnsiTheme="majorEastAsia" w:eastAsiaTheme="majorEastAsia" w:cstheme="majorEastAsia"/>
          <w:lang w:eastAsia="zh-CN"/>
        </w:rPr>
        <w:t>体外循环手术期间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代替心肺功能使用</w:t>
      </w:r>
      <w:r>
        <w:rPr>
          <w:rFonts w:hint="eastAsia" w:asciiTheme="majorEastAsia" w:hAnsiTheme="majorEastAsia" w:eastAsiaTheme="majorEastAsia" w:cstheme="majorEastAsia"/>
          <w:lang w:eastAsia="zh-CN"/>
        </w:rPr>
        <w:t>对静脉血液进行氧合、热交换及作为静脉血的储血瓶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。材质</w:t>
      </w:r>
      <w:r>
        <w:rPr>
          <w:rFonts w:hint="eastAsia" w:asciiTheme="majorEastAsia" w:hAnsiTheme="majorEastAsia" w:eastAsiaTheme="majorEastAsia" w:cstheme="majorEastAsia"/>
        </w:rPr>
        <w:t>要求：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PVC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</w:rPr>
        <w:t>规格</w:t>
      </w:r>
      <w:r>
        <w:rPr>
          <w:rFonts w:hint="eastAsia" w:asciiTheme="majorEastAsia" w:hAnsiTheme="majorEastAsia" w:eastAsiaTheme="majorEastAsia" w:cstheme="majorEastAsia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儿童型、婴幼儿型、成人型。有热交换器、硬壳静脉血储存器和过滤器等组成。连续使用时间≥6个小时。预充量小，操作简便。一次性无菌包装。提供膜式氧合器配套支架。</w:t>
      </w:r>
    </w:p>
    <w:tbl>
      <w:tblPr>
        <w:tblStyle w:val="3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653"/>
        <w:gridCol w:w="1653"/>
        <w:gridCol w:w="1"/>
        <w:gridCol w:w="1654"/>
      </w:tblGrid>
      <w:tr w14:paraId="4640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 w14:paraId="31A88A3F">
            <w:pPr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85090</wp:posOffset>
                      </wp:positionV>
                      <wp:extent cx="847725" cy="35242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4C2493"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4pt;margin-top:6.7pt;height:27.75pt;width:66.75pt;z-index:251659264;mso-width-relative:page;mso-height-relative:page;" filled="f" stroked="f" coordsize="21600,21600" o:gfxdata="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7JL29kAAAAIAQAADwAAAAAAAAABACAAAAAi&#10;AAAAZHJzL2Rvd25yZXYueG1sUEsBAhQAFAAAAAgAh07iQCX8oJBCAgAAcwQAAA4AAAAAAAAAAQAg&#10;AAAAKA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A4C2493"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参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            规格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6151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婴幼儿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型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B8A8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儿童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C80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成人</w:t>
            </w:r>
          </w:p>
        </w:tc>
      </w:tr>
      <w:tr w14:paraId="19A0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93C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静脉贮血器容积±10%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F3D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2L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A2D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3L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B7C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</w:rPr>
              <w:t>L</w:t>
            </w:r>
          </w:p>
        </w:tc>
      </w:tr>
      <w:tr w14:paraId="186E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89BA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最低安全液血面±10%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E95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200ml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675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250ml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2F3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300ml</w:t>
            </w:r>
          </w:p>
        </w:tc>
      </w:tr>
      <w:tr w14:paraId="20ADB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485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最大血流量≥(L/min)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488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2.5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7686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3.5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288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</w:t>
            </w:r>
          </w:p>
        </w:tc>
      </w:tr>
      <w:tr w14:paraId="43CAA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2E4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氧合膜面积≥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69E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1m²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114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</w:rPr>
              <w:t>m²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7B2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1.8m²</w:t>
            </w:r>
          </w:p>
        </w:tc>
      </w:tr>
      <w:tr w14:paraId="6078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D54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有效热交换</w:t>
            </w:r>
            <w:r>
              <w:rPr>
                <w:rFonts w:hint="eastAsia" w:asciiTheme="majorEastAsia" w:hAnsiTheme="majorEastAsia" w:eastAsiaTheme="majorEastAsia" w:cstheme="majorEastAsia"/>
              </w:rPr>
              <w:t>面积≥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535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0.2m²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4E4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</w:rPr>
              <w:t>m²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403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</w:rPr>
              <w:t>m²</w:t>
            </w:r>
          </w:p>
        </w:tc>
      </w:tr>
      <w:tr w14:paraId="452B9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772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血气、热交换部分预充量≤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E0A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160ml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BA9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190ml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F6E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270ml</w:t>
            </w:r>
          </w:p>
        </w:tc>
      </w:tr>
      <w:tr w14:paraId="7331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320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静脉血入口尺寸(mm)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46F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9.5或6.3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D23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12.7或9.5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8FD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12.7</w:t>
            </w:r>
          </w:p>
        </w:tc>
      </w:tr>
      <w:tr w14:paraId="7E5DE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CD6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动脉血出口尺寸(mm)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734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9.5或6.3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C70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9.5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3BD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9.5</w:t>
            </w:r>
          </w:p>
        </w:tc>
      </w:tr>
      <w:tr w14:paraId="29E2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3094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静脉血库过滤孔径≤（um）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7E93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A76F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40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DEA3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40</w:t>
            </w:r>
          </w:p>
        </w:tc>
      </w:tr>
      <w:tr w14:paraId="35D34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A218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限压阀正/负压安全值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1D18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正压≥5mmHg,负压≤-150mmHg</w:t>
            </w:r>
          </w:p>
        </w:tc>
      </w:tr>
      <w:tr w14:paraId="6D925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8DE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热交换器进出水口尺寸(mm)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065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12.7(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汉森</w:t>
            </w:r>
            <w:r>
              <w:rPr>
                <w:rFonts w:hint="eastAsia" w:asciiTheme="majorEastAsia" w:hAnsiTheme="majorEastAsia" w:eastAsiaTheme="majorEastAsia" w:cstheme="majorEastAsia"/>
              </w:rPr>
              <w:t>快速接头)</w:t>
            </w:r>
          </w:p>
        </w:tc>
      </w:tr>
      <w:tr w14:paraId="00775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33D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进气口≥(mm)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09C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6.3</w:t>
            </w:r>
          </w:p>
        </w:tc>
      </w:tr>
    </w:tbl>
    <w:p w14:paraId="45AAE5E5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3CB8C981">
      <w:pPr>
        <w:rPr>
          <w:rFonts w:hint="eastAsia" w:asciiTheme="majorEastAsia" w:hAnsiTheme="majorEastAsia" w:eastAsiaTheme="majorEastAsia" w:cstheme="majorEastAsia"/>
        </w:rPr>
      </w:pPr>
    </w:p>
    <w:p w14:paraId="3F30C39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asciiTheme="majorEastAsia" w:hAnsiTheme="majorEastAsia" w:eastAsiaTheme="majorEastAsia" w:cstheme="majorEastAsia"/>
        </w:rPr>
        <w:t xml:space="preserve">男科实验室耗材一批参数 </w:t>
      </w:r>
    </w:p>
    <w:p w14:paraId="0DF53E6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</w:t>
      </w:r>
    </w:p>
    <w:tbl>
      <w:tblPr>
        <w:tblStyle w:val="4"/>
        <w:tblW w:w="9933" w:type="dxa"/>
        <w:tblInd w:w="-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9"/>
        <w:gridCol w:w="4884"/>
      </w:tblGrid>
      <w:tr w14:paraId="07CD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49" w:type="dxa"/>
            <w:vAlign w:val="center"/>
          </w:tcPr>
          <w:p w14:paraId="123698F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名称</w:t>
            </w:r>
          </w:p>
        </w:tc>
        <w:tc>
          <w:tcPr>
            <w:tcW w:w="4884" w:type="dxa"/>
            <w:vAlign w:val="center"/>
          </w:tcPr>
          <w:p w14:paraId="0090FC2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用途</w:t>
            </w:r>
          </w:p>
        </w:tc>
      </w:tr>
      <w:tr w14:paraId="0C5A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9" w:type="dxa"/>
            <w:vAlign w:val="center"/>
          </w:tcPr>
          <w:p w14:paraId="244E09A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支原体分离培养药敏检测试剂盒</w:t>
            </w:r>
          </w:p>
        </w:tc>
        <w:tc>
          <w:tcPr>
            <w:tcW w:w="4884" w:type="dxa"/>
            <w:vAlign w:val="center"/>
          </w:tcPr>
          <w:p w14:paraId="27705BD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用于临床解脲脲原体和人型支原体的培养鉴定，</w:t>
            </w:r>
          </w:p>
          <w:p w14:paraId="47B1C32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半定量计数和药物敏感性实验</w:t>
            </w:r>
          </w:p>
        </w:tc>
      </w:tr>
      <w:tr w14:paraId="2183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9" w:type="dxa"/>
            <w:vAlign w:val="center"/>
          </w:tcPr>
          <w:p w14:paraId="3696833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精子顶体酶活性检测试剂盒（底物酶法）</w:t>
            </w:r>
          </w:p>
        </w:tc>
        <w:tc>
          <w:tcPr>
            <w:tcW w:w="4884" w:type="dxa"/>
            <w:vAlign w:val="center"/>
          </w:tcPr>
          <w:p w14:paraId="6C11F59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用于精子顶体酶活性检测</w:t>
            </w:r>
          </w:p>
        </w:tc>
      </w:tr>
      <w:tr w14:paraId="7F8A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9" w:type="dxa"/>
            <w:vAlign w:val="center"/>
          </w:tcPr>
          <w:p w14:paraId="383B51A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精子（细胞）形态学快速染色液(Diff-Quik法）</w:t>
            </w:r>
          </w:p>
        </w:tc>
        <w:tc>
          <w:tcPr>
            <w:tcW w:w="4884" w:type="dxa"/>
            <w:vAlign w:val="center"/>
          </w:tcPr>
          <w:p w14:paraId="46DDF4F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用于精子染色</w:t>
            </w:r>
          </w:p>
        </w:tc>
      </w:tr>
      <w:tr w14:paraId="0313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9" w:type="dxa"/>
            <w:vAlign w:val="center"/>
          </w:tcPr>
          <w:p w14:paraId="5360CCD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人绒毛膜促性腺激素（HCG）检测试纸（胶体金法）</w:t>
            </w:r>
          </w:p>
        </w:tc>
        <w:tc>
          <w:tcPr>
            <w:tcW w:w="4884" w:type="dxa"/>
            <w:vAlign w:val="center"/>
          </w:tcPr>
          <w:p w14:paraId="7225EEA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用于门诊患者的早孕筛查</w:t>
            </w:r>
          </w:p>
        </w:tc>
      </w:tr>
      <w:tr w14:paraId="1AD5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9" w:type="dxa"/>
            <w:vAlign w:val="center"/>
          </w:tcPr>
          <w:p w14:paraId="42B092D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沙眼衣原体抗原检测试剂盒（胶体金法）</w:t>
            </w:r>
          </w:p>
        </w:tc>
        <w:tc>
          <w:tcPr>
            <w:tcW w:w="4884" w:type="dxa"/>
            <w:vAlign w:val="center"/>
          </w:tcPr>
          <w:p w14:paraId="2B1ECE8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用于检测女性宫颈和男性尿道中衣原体</w:t>
            </w:r>
          </w:p>
        </w:tc>
      </w:tr>
    </w:tbl>
    <w:p w14:paraId="5FDEA998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支原体分离培养药敏检测试剂盒</w:t>
      </w:r>
    </w:p>
    <w:p w14:paraId="1978009F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解脲人型支原体分离培养药敏检测试剂盒应采用微生物检验法，具备分离培养、鉴定、计数、药敏于一体的功能。单独包装。操作简单，显色鲜明，对比明显。敏感性、特异性：对解脲脲原体标准株ATCC33175和人型支原体标准株ATCC23114分离培养符合率为100%，药敏符合率≥90%。重复性：对解脲脲原体标准株ATCC33175和人型支原体标准株ATCC23114分离培养重复性为100%，药敏重复性≥90%。</w:t>
      </w:r>
    </w:p>
    <w:p w14:paraId="4CCDBBDA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精子顶体酶活性检测试剂盒（底物酶法）</w:t>
      </w:r>
    </w:p>
    <w:p w14:paraId="4BCC7730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适用于手工实验操作。精密度：批内精密度CV≤8%，批间精密度CV≤15%;特异性：3μmol/L酰胺酶干扰率不超过士15%;灵敏度：CV≤10%。</w:t>
      </w:r>
    </w:p>
    <w:p w14:paraId="00635ECC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精子（细胞）形态学快速染色液（Diff-Quik法）</w:t>
      </w:r>
    </w:p>
    <w:p w14:paraId="4197432F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用于精液标本涂片的快速染色。可常温保存，性质稳定，保质期6个月以上。染色效果好，精子头体尾分别着色，其精子顶体区染成淡紫色，顶体后区染深紫色，中段与尾部染成淡蓝色或淡红色，背景色清晰，实验结果稳定。</w:t>
      </w:r>
    </w:p>
    <w:p w14:paraId="7810FD84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人绒毛膜促性腺激素（HCG）检测试纸（胶体金法）</w:t>
      </w:r>
    </w:p>
    <w:p w14:paraId="0944AC21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方便于手工实验。重复性好，不同批次HCG试纸对同一标本显色一致。特异性高，抗干扰能力强。灵敏度高，最低检测下限不高于25U/L。</w:t>
      </w:r>
    </w:p>
    <w:p w14:paraId="1CF17EF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沙眼衣原体抗原检测试剂盒（胶体金法）</w:t>
      </w:r>
    </w:p>
    <w:p w14:paraId="1F1570B5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检测样品：生殖道拭子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</w:rPr>
        <w:t>临床应用：衣原体感染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</w:rPr>
        <w:t>检测阈值：4x1000 IFU/ml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</w:rPr>
        <w:t>检测原理：双抗体夹心法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</w:p>
    <w:p w14:paraId="647915CB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436D3EB0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5755FEA1">
      <w:pPr>
        <w:numPr>
          <w:ilvl w:val="0"/>
          <w:numId w:val="0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3、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免疫组化试剂一批（10种）参数</w:t>
      </w:r>
    </w:p>
    <w:p w14:paraId="660221E3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</w:t>
      </w:r>
    </w:p>
    <w:tbl>
      <w:tblPr>
        <w:tblStyle w:val="4"/>
        <w:tblW w:w="9932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  <w:gridCol w:w="5695"/>
      </w:tblGrid>
      <w:tr w14:paraId="432A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37972ACB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名称</w:t>
            </w:r>
          </w:p>
        </w:tc>
        <w:tc>
          <w:tcPr>
            <w:tcW w:w="5695" w:type="dxa"/>
          </w:tcPr>
          <w:p w14:paraId="01C66682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用途及要求</w:t>
            </w:r>
          </w:p>
        </w:tc>
      </w:tr>
      <w:tr w14:paraId="4ABE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71FA480E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C3c抗体试剂（免疫组织化学）</w:t>
            </w:r>
          </w:p>
        </w:tc>
        <w:tc>
          <w:tcPr>
            <w:tcW w:w="5695" w:type="dxa"/>
          </w:tcPr>
          <w:p w14:paraId="68A26818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1、新鲜组织免疫荧光抗体。2、按每毫升报价，规格报全。</w:t>
            </w:r>
          </w:p>
        </w:tc>
      </w:tr>
      <w:tr w14:paraId="2C16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6B4537EE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C4c抗体试剂（免疫组织化学）</w:t>
            </w:r>
          </w:p>
        </w:tc>
        <w:tc>
          <w:tcPr>
            <w:tcW w:w="5695" w:type="dxa"/>
          </w:tcPr>
          <w:p w14:paraId="23C6652B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1、新鲜组织免疫荧光抗体。2、按每毫升报价，规格报全。</w:t>
            </w:r>
          </w:p>
        </w:tc>
      </w:tr>
      <w:tr w14:paraId="7C59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480290D0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C1q抗体试剂（免疫组织化学）</w:t>
            </w:r>
          </w:p>
        </w:tc>
        <w:tc>
          <w:tcPr>
            <w:tcW w:w="5695" w:type="dxa"/>
          </w:tcPr>
          <w:p w14:paraId="448500E7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1、新鲜组织免疫荧光抗体。2、按每毫升报价，规格报全。</w:t>
            </w:r>
          </w:p>
        </w:tc>
      </w:tr>
      <w:tr w14:paraId="4537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2F1F12D3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IgM抗体试剂（免疫组织化学）</w:t>
            </w:r>
          </w:p>
        </w:tc>
        <w:tc>
          <w:tcPr>
            <w:tcW w:w="5695" w:type="dxa"/>
          </w:tcPr>
          <w:p w14:paraId="088ED56F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1、新鲜组织免疫荧光抗体。2、按每毫升报价，规格报全。</w:t>
            </w:r>
          </w:p>
        </w:tc>
      </w:tr>
      <w:tr w14:paraId="475A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3C64A8CA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IgG抗体试剂（免疫组织化学）</w:t>
            </w:r>
          </w:p>
        </w:tc>
        <w:tc>
          <w:tcPr>
            <w:tcW w:w="5695" w:type="dxa"/>
          </w:tcPr>
          <w:p w14:paraId="2787D8F5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1、新鲜组织免疫荧光抗体。2、按每毫升报价，规格报全。</w:t>
            </w:r>
          </w:p>
        </w:tc>
      </w:tr>
      <w:tr w14:paraId="25C9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1203F9C2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IgA抗体试剂（免疫组织化学）</w:t>
            </w:r>
          </w:p>
        </w:tc>
        <w:tc>
          <w:tcPr>
            <w:tcW w:w="5695" w:type="dxa"/>
          </w:tcPr>
          <w:p w14:paraId="48554F53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1、新鲜组织免疫荧光抗体。2、按每毫升报价，规格报全。</w:t>
            </w:r>
          </w:p>
        </w:tc>
      </w:tr>
      <w:tr w14:paraId="6E1B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2DEF588B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DPC4抗体试剂（免疫组织化学法）</w:t>
            </w:r>
          </w:p>
        </w:tc>
        <w:tc>
          <w:tcPr>
            <w:tcW w:w="5695" w:type="dxa"/>
          </w:tcPr>
          <w:p w14:paraId="27421EEE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1、用于免疫组化检测。2、按每毫升报价，规格报全。</w:t>
            </w:r>
          </w:p>
        </w:tc>
      </w:tr>
      <w:tr w14:paraId="4333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22D10227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肺表面活性蛋白A （Surfactant Protein A ）</w:t>
            </w:r>
          </w:p>
          <w:p w14:paraId="382006CA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抗体试剂（免疫组织化学法）</w:t>
            </w:r>
          </w:p>
        </w:tc>
        <w:tc>
          <w:tcPr>
            <w:tcW w:w="5695" w:type="dxa"/>
          </w:tcPr>
          <w:p w14:paraId="55E2EE34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1、用于免疫组化检测。2、按每毫升报价，规格报全。</w:t>
            </w:r>
          </w:p>
        </w:tc>
      </w:tr>
      <w:tr w14:paraId="6BD7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31B917D0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CD163抗体试剂（免疫组织化学）</w:t>
            </w:r>
          </w:p>
        </w:tc>
        <w:tc>
          <w:tcPr>
            <w:tcW w:w="5695" w:type="dxa"/>
          </w:tcPr>
          <w:p w14:paraId="0F9C2499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1、用于免疫组化检测。2、按每毫升报价，规格报全。</w:t>
            </w:r>
          </w:p>
        </w:tc>
      </w:tr>
      <w:tr w14:paraId="2E8E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vAlign w:val="center"/>
          </w:tcPr>
          <w:p w14:paraId="21F3E830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Collagen Type IV抗体试剂（免疫组织化学）</w:t>
            </w:r>
          </w:p>
        </w:tc>
        <w:tc>
          <w:tcPr>
            <w:tcW w:w="5695" w:type="dxa"/>
          </w:tcPr>
          <w:p w14:paraId="27737DC3">
            <w:pP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1、用于免疫组化检测。2、按每毫升报价，规格报全。</w:t>
            </w:r>
          </w:p>
        </w:tc>
      </w:tr>
    </w:tbl>
    <w:p w14:paraId="478ED3F1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18BCDD6C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3B8487AF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</w:rPr>
        <w:t>全自动干式荧光免疫分析仪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耗材一批参数</w:t>
      </w:r>
    </w:p>
    <w:p w14:paraId="21565BE8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所投产品需在省标目录内。用于心脏功能检测评估。需匹配巴迪泰A5000PLUS</w:t>
      </w:r>
      <w:r>
        <w:rPr>
          <w:rFonts w:hint="eastAsia" w:asciiTheme="majorEastAsia" w:hAnsiTheme="majorEastAsia" w:eastAsiaTheme="majorEastAsia" w:cstheme="majorEastAsia"/>
        </w:rPr>
        <w:t>全自动干式荧光免疫分析仪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可溶性生长刺激表达基因2蛋白检测试剂盒（免于荧光干式定量法）、心肌肌钙蛋白I检测试剂盒、N-端脑利钠肽前体检测试剂盒。</w:t>
      </w:r>
    </w:p>
    <w:p w14:paraId="71D5BDE7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61CD15BD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3581B09B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5、一次性使用内窥镜活体取样针参数</w:t>
      </w:r>
    </w:p>
    <w:p w14:paraId="0F12AC56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所投产品需在省标目录内。用于内窥镜检查或治疗中的活检取样。取样针主要有内芯丝，针头，外管、三通、螺纹帽、手柄、抽吸器组成；针头规格（超薄壁）：19G、20G、22G，壁薄0.9mm、0.7mm ,针头长度:14mm,直径:1.8mm,有效长度:1200mm；一次性灭菌包装。</w:t>
      </w:r>
    </w:p>
    <w:p w14:paraId="35357EF8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6B2E4900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7A5849B9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6、甲醇参数</w:t>
      </w:r>
    </w:p>
    <w:p w14:paraId="65DCD008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用于血液流水线推片机日常仪器保养。遗传室染色体检验收货制片固定。病理切片的固定。</w:t>
      </w:r>
    </w:p>
    <w:p w14:paraId="0C408DEF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优级纯GR，甲醇含量大于等于99.7%，500ml。</w:t>
      </w:r>
    </w:p>
    <w:p w14:paraId="44767BF0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538DDD85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35E45795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7、细胞培养瓶参数</w:t>
      </w:r>
    </w:p>
    <w:p w14:paraId="4FBF26C1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用于培养羊水细胞。PVC材质。200只/箱。.直角斜颈（正方斜口）。TC表面 PS（聚苯乙烯）。25c㎡，50ml透气盖培养瓶。培养基用量：5-7.5mL。</w:t>
      </w:r>
    </w:p>
    <w:p w14:paraId="12A312AB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招标现场需提供样品</w:t>
      </w:r>
    </w:p>
    <w:p w14:paraId="650A233E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231FCEF1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8、盖玻片参数</w:t>
      </w:r>
    </w:p>
    <w:p w14:paraId="636ECB90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用于显微镜观察时覆盖标本。玻璃材质。24*50mm、24*40mm。适用于显微镜盖玻片，由超白浮法玻璃制成，颜色为白色透明，具备极佳的透光性和平整度，透光度≥90%，强化学耐久性。</w:t>
      </w:r>
    </w:p>
    <w:p w14:paraId="70CF78D1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64FF8768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5A973F21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lang w:val="en-US" w:eastAsia="zh-CN"/>
        </w:rPr>
        <w:t>9、ABD血型纸卡参数</w:t>
      </w:r>
    </w:p>
    <w:p w14:paraId="6DE833BE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用于患者血型初检，献血员血型复检。纸质板状，木质原浆压制。20人份/张。纸质洁白光滑，凝集结果易于观察。每组检测具有ABD三组凹圆，凹圆直径≥12mm，并有编号和记录结果。凹坑的表面上有防渗透膜层。</w:t>
      </w:r>
    </w:p>
    <w:p w14:paraId="79AC58F5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08E1922D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44E325CE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10、抗Rh（IgM）血型定型试剂（单克隆抗体）参数</w:t>
      </w:r>
    </w:p>
    <w:p w14:paraId="1E55C564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。用于检测Rh血型系统抗原(C、c、E、e)检测,广泛应用于临床输血、血型鉴定和疑难交叉配血筛选。主要组成:抗C、抗c、抗E、抗e各1瓶。规格:5mL*4。2-8℃冷藏,避免冷冻。有效期:≥12个月。抗Rh（IgM）抗体应仅与目标Rh抗原(如C、c、E、e等)发生反应,不与其他血型抗原(如ABO系统抗原)发生交叉反应。确保抗体为单克隆抗体,具有高度特异性。能够检测到低浓度的Rh抗原,确保在临床样本中的准确性。抗Rh(IgM)抗体的效价≥1:64。</w:t>
      </w:r>
    </w:p>
    <w:p w14:paraId="008483CC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005E0D74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1E5C54C7">
      <w:pPr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11、脊髓神经刺激测试电极参数</w:t>
      </w:r>
    </w:p>
    <w:p w14:paraId="555514F7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。脊髓神经电刺激主要用于治疗慢性顽固性神经源性疼痛：(1)带状疱疹后神经痛。(2)残肢痛、幻肢痛和脊髓损伤后疼痛。(3)复杂性局部痛综合征。（4)交感神经功能失调和周围血管性病变引起的顽固性疼痛。(5)范围较大的肩背痛、腰背痛和周围神经性疼痛。(6)臂丛神经撕脱伤后疼痛、腰丛神经撕脱伤后疼痛。规格：可放置于硬膜外腔，包括电极导线，导丝，针，钢丝。材质：导线、电极、穿刺针（不锈钢)。需配备一次性无菌体外神经刺激器。兼容多种程控模式：包括低频刺激模式、高频刺激模式、DTM 兼频刺激模式。一次性无菌独立包装。</w:t>
      </w:r>
    </w:p>
    <w:p w14:paraId="04011A61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招标现场需提供样品</w:t>
      </w:r>
    </w:p>
    <w:p w14:paraId="4F7F30B5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36061B9F">
      <w:pPr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12、肝素涂层血管内覆膜支架系统参数</w:t>
      </w:r>
    </w:p>
    <w:p w14:paraId="1FF53557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。用于治疗血管直径参考范围4.0-7.5mm股浅动脉病变和治疗血管直径参考范围4.0-12mm髂动脉病变。规格：35系统：直径：5、6、7、8mm；长度：2.5、5、7.5、10、15cm；35系统：直径：9、10、11、13mm；长度：5、7.5、10、15cm；；18系统：直径：5、6、7、8mm；长度：2.5、5、7.5、10、15cm。EPTFE膜材质，钴铬合金骨架；直径5~13mm，长度2.5cm、5cm、7.5cm、10cm、15cm。CBAS肝素表面涂层。输送系统0.035英寸和0.018英寸，长度120cm。</w:t>
      </w:r>
    </w:p>
    <w:p w14:paraId="41CBFF84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招标现场需提供样品</w:t>
      </w:r>
    </w:p>
    <w:p w14:paraId="425A6CF0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1D3859D0">
      <w:pPr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13、一次性使用心脏停跳液灌注管路参数</w:t>
      </w:r>
    </w:p>
    <w:p w14:paraId="7F38C88F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所投产品需在省标目录内。用于心脏体外循环手术中，心肌保护时使用。成人型主动脉根部灌注针头（直型、Y型、加长型）；儿童型主动脉根部灌注针头（直型、Y型）；左冠状动脉灌注针头：大号、中号、小号；右冠状动脉灌注针头：大号、中号、小号。由灌注头、灌注头底座、不锈钢管、手柄、保护帽、接头、软管、不锈钢针芯、针芯底座、管夹、三通开关等组成。一次性无菌独立包装。</w:t>
      </w:r>
    </w:p>
    <w:p w14:paraId="7838E333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招标现场需提供样品</w:t>
      </w:r>
    </w:p>
    <w:p w14:paraId="654E6CD9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1F3"/>
    <w:rsid w:val="015F0C0F"/>
    <w:rsid w:val="05195465"/>
    <w:rsid w:val="23CE36C1"/>
    <w:rsid w:val="3D072AC6"/>
    <w:rsid w:val="41B846A2"/>
    <w:rsid w:val="42492991"/>
    <w:rsid w:val="46982163"/>
    <w:rsid w:val="5E5C6B7F"/>
    <w:rsid w:val="5E82082E"/>
    <w:rsid w:val="6C2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color w:val="417FF9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ascii="汉仪书宋二KW" w:hAnsi="汉仪书宋二KW" w:eastAsia="汉仪书宋二KW" w:cs="汉仪书宋二KW"/>
      <w:color w:val="3366FF"/>
      <w:sz w:val="20"/>
      <w:szCs w:val="20"/>
      <w:u w:val="none"/>
    </w:rPr>
  </w:style>
  <w:style w:type="character" w:customStyle="1" w:styleId="8">
    <w:name w:val="样式3-附表格1"/>
    <w:basedOn w:val="5"/>
    <w:autoRedefine/>
    <w:qFormat/>
    <w:uiPriority w:val="1"/>
    <w:rPr>
      <w:rFonts w:ascii="Times New Roman" w:hAnsi="Times New Roman" w:eastAsia="楷体_GB2312" w:cs="Times New Roman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4604</Words>
  <Characters>5301</Characters>
  <Lines>0</Lines>
  <Paragraphs>0</Paragraphs>
  <TotalTime>1</TotalTime>
  <ScaleCrop>false</ScaleCrop>
  <LinksUpToDate>false</LinksUpToDate>
  <CharactersWithSpaces>5336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2023-03-13T05:54:00Z</dcterms:created>
  <dc:creator>Administrator</dc:creator>
  <cp:lastModifiedBy>pH</cp:lastModifiedBy>
  <dcterms:modified xsi:type="dcterms:W3CDTF">2026-03-29T18:20:29Z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500CF5D4EB4D47EFB608A64416717FD9_13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