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8A3A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1、经导管植入式无导线起搏器参数</w:t>
      </w:r>
    </w:p>
    <w:p w14:paraId="62EA75F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bookmarkStart w:id="0" w:name="_GoBack"/>
      <w:bookmarkEnd w:id="0"/>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缓慢性心律失常患者，尤其适合高龄、高感染风险、静脉通路异常、需MRI检查等传统起搏高风险人群。包含脉冲发生器及专用输送系统。植入途径为经静脉穿刺，经导管植入。无菌包装。支持VVI/AAI模式，起搏电压、感知、频率可调，具备自动阈值、自动感知调节及诊断存储功能。兼容1.5/3.0TMR。</w:t>
      </w:r>
    </w:p>
    <w:p w14:paraId="3A9CE19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659EDBE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11850F4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2、全套小关节（腕/踝）镜微创操作器械参数</w:t>
      </w:r>
    </w:p>
    <w:p w14:paraId="6619C35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用于腕踝关节镜手术中的诊断与治疗。</w:t>
      </w:r>
    </w:p>
    <w:p w14:paraId="25C663F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手术微创器械包含：腕踝手术微创器械（直、左、右弯蓝钳、游离体抓钳、探钩、蚊钳、开口刮匙、组织抓钳、剥离器，微骨折器）1套、腕关节牵引固定装置1套。</w:t>
      </w:r>
    </w:p>
    <w:p w14:paraId="500C33D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腕踝手术微创器械1套：</w:t>
      </w:r>
    </w:p>
    <w:p w14:paraId="4C92D54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1.开口刮匙，直径≤2.75mm，长≤90mm；</w:t>
      </w:r>
    </w:p>
    <w:p w14:paraId="755809C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2.探条，小关节，长≤90mm，头部70°；</w:t>
      </w:r>
    </w:p>
    <w:p w14:paraId="1A4686C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3.剥离器，直径≤2.75mm，长65mm；</w:t>
      </w:r>
    </w:p>
    <w:p w14:paraId="5E40DE2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4.蓝钳，右曲45°，直径≤2mm，长≤90mm，钝头；</w:t>
      </w:r>
    </w:p>
    <w:p w14:paraId="6911FF6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5.蓝钳，左曲45°，直径≤2mm，长≤90mm，钝头；</w:t>
      </w:r>
    </w:p>
    <w:p w14:paraId="369222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6.游离体抓钳，标准型，直径≤2.75mm，长≤90mm，直型；</w:t>
      </w:r>
    </w:p>
    <w:p w14:paraId="4025724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7.勺状蓝钳，钝头，直径≤2.75mm，长≤90mm，直型；</w:t>
      </w:r>
    </w:p>
    <w:p w14:paraId="439632D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8.组织抓钳，蚊式尖，直径≤2.75mm，长≤90mm，直型；</w:t>
      </w:r>
    </w:p>
    <w:p w14:paraId="7CDA072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9.微骨折器，30°，长≤190.5mm；</w:t>
      </w:r>
    </w:p>
    <w:p w14:paraId="5EEDEEB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10.微骨折器，45°，长≤190.5mm；</w:t>
      </w:r>
    </w:p>
    <w:p w14:paraId="2966A2D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11.微骨折器，90°，长≤190.5mm；</w:t>
      </w:r>
    </w:p>
    <w:p w14:paraId="0FCD144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腕关节牵引固定系统：1套</w:t>
      </w:r>
    </w:p>
    <w:p w14:paraId="70A1C69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1.适用于腕关节开放，微创切口及镜下手术体位支持；</w:t>
      </w:r>
    </w:p>
    <w:p w14:paraId="5E9439F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2.角度调节范围：轴向180°调节（15°/档）及冠状位140°调节；</w:t>
      </w:r>
    </w:p>
    <w:p w14:paraId="0C683B1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3.张力调节范围：上臂牵引旋钮支持上下≥2.25英寸（5.72cm）范围牵引调节，支持≥21Ibs（约9kg拉力）；</w:t>
      </w:r>
    </w:p>
    <w:p w14:paraId="7DAD1F3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4.上臂支持范围：上下≥5.4英寸（13.72cm）范围牵引调节；</w:t>
      </w:r>
    </w:p>
    <w:p w14:paraId="38A98D6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5.上塔支持范围：上下≥3英寸（7.62cm）范围调节；</w:t>
      </w:r>
    </w:p>
    <w:p w14:paraId="7AE7FEA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6.可高温高压灭菌消毒。</w:t>
      </w:r>
    </w:p>
    <w:p w14:paraId="403E32A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7.配件≤7件</w:t>
      </w:r>
    </w:p>
    <w:p w14:paraId="22B5610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需提供配套腕踝手术微创器械、腕关节牵引固定系统的器械盒，器械盒可高温高压消毒。全保2年，终身保修。</w:t>
      </w:r>
    </w:p>
    <w:p w14:paraId="461F08D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53FE9C8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770F548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3、脱细胞基质周围神经修复膜的技术参数</w:t>
      </w:r>
    </w:p>
    <w:p w14:paraId="2D048D9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所投产品需在省标目录内。用于无实质缺损或经吻合的周围神经损伤修复。成分为动物神经细胞外基质。致密半透明薄膜，膜片厚度≤100μm ，无明显膨胀，柔韧性好。可任意卷曲裁剪缝合。完全降解≤3个月。残留DNA含量≤10ng/mg。物理交联，辐照灭菌。</w:t>
      </w:r>
    </w:p>
    <w:p w14:paraId="2D22646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11EA2B3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C4CA87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4、一次性使用灭菌橡胶外科手套参数</w:t>
      </w:r>
    </w:p>
    <w:p w14:paraId="68F2380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手术中手部防护，防止医生与患者之间的交叉感染。类型：普通型、脱蛋白型。普通型由天然乳胶制成，脱蛋白型由脱蛋白天然橡胶胶乳制成‌；水抽提蛋白质含量：不大于200ug/dm2。符合一次性使用灭菌橡胶外科手套（GB/T 7543-2020）国家标准要求。需通过细胞毒性、皮肤刺激性、致敏性测试，提供相关检测报告。辐照灭菌，需提供辐照灭菌报告。规格‌：无粉纹理，弯型，6.0、6.5、7.0、7.5、8.0、8.5（按手部周长精确分码）。拉伸强度≥25MPa或者老化前扯断力≥12.5N，老化后（70℃*7d）强度保持率≥80%，最小厚度≥0.13mm。独立双层灭菌包装，每副手套配单独纸塑袋，外包装应有开口方向标识，符合无菌操作要求。有效期≥3年。</w:t>
      </w:r>
    </w:p>
    <w:p w14:paraId="1C5557F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3E80CC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440773D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5、脑脊液分流器及其组件（Ommaya储液囊）参数</w:t>
      </w:r>
    </w:p>
    <w:p w14:paraId="49A4454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阶段性的脑室局部给药（颅脑感染性病变治疗，以及肿瘤注射化疗药物提供通道）；阶段性的腔内抽液（降低颅内压、脑脊液细胞学检测）；对反复颅内空腔进行冲洗，彻底引流（脑出血治疗）；短期外引流与永久性分流治疗的过渡治疗手段。规格：容量≥0.3ml；硅胶弹性囊顶，重复多次穿刺≥600次（25G无损针）；硬质底座，防止穿刺囊底，囊底部平，有侧面接入口；一次性无菌独立包装，需包含一根脑室导管，有长度标识，长度≥23cm。</w:t>
      </w:r>
    </w:p>
    <w:p w14:paraId="429F2E5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5B727DF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C1DDFD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6、可吸收硬脑膜封合医用胶参数</w:t>
      </w:r>
    </w:p>
    <w:p w14:paraId="62DAEE2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神经内镜下经鼻垂体瘤切除术及其他开颅手术，术中硬脑膜缝合部位的辅助封合，防止脑脊液渗漏。规格：2ml。成分：四臂聚乙二醇-N-羟基丁二酰亚胺-戊二酸酯、三赖氨酸和聚乙烯亚胺等组成。≥80mmHg破裂强度。＜自身重量185%溶胀率。50mmHg压力，≥5min不脱落不渗漏降解完全≤8周。</w:t>
      </w:r>
    </w:p>
    <w:p w14:paraId="140B2E2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42DCD03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4D2B831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7、可吸收再生氧化纤维素止血纱的技术参数</w:t>
      </w:r>
    </w:p>
    <w:p w14:paraId="7088B36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颅脑肿瘤术中渗血、硬脑膜及颅骨间腔隙的渗血、血肿残腔渗血等脑创伤等手术创面的止血和内镜手术狭小空间的术中止血等。规格：约10cm*5cm，允差±5%。纯植物来源提取再生氧化纤维素的无菌可吸收编织物。一次性无菌独立包装。</w:t>
      </w:r>
    </w:p>
    <w:p w14:paraId="58806ED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4F82906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9670BB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8、、多功能手术解剖切割器（可止血消融电极）参数</w:t>
      </w:r>
    </w:p>
    <w:p w14:paraId="75BB990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内镜下脑出血或经鼻蝶垂体瘤微创手术精准止血操作。作为手术设备附件，与高频发生器/或射频发生器配合使用，或与吸引装置配套使用。供临床神经外科手术切割、消融及止血、冲/吸的应用。柔性合金材质，具有弯折角度360度； 手控负压吸引功能；电热合金固相纤维复合材料及其纳米涂层；具备月牙式刀头和夹式刀头；具备折弯、抓取、吸引、切割、凝血、消融多种的功能；电极刀头长度2-4mm，通过直径3.8mm，工作长度能满足120mm、160mm、200mm。</w:t>
      </w:r>
    </w:p>
    <w:p w14:paraId="7EC28FA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03E2CFC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44837B5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9、全踝关节系统参数</w:t>
      </w:r>
    </w:p>
    <w:p w14:paraId="743A63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保守治疗失败或保踝手术无效的踝关节炎病人，对于经多次保守治疗保踝手术（如踝上截骨术、关节镜下清创术）效果不佳，或关节破坏程度超出保踝技术纠正范围的患者，进行置换踝关节，达到有效的根治性治疗。包含胫骨假体、距骨假体和胫骨衬垫。适用于人体踝关节缺损的置换，包括严重创伤、肿瘤、感染、先天性畸形造成关节结构严重毁损和严重畸形等。</w:t>
      </w:r>
    </w:p>
    <w:p w14:paraId="64FC45C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bCs/>
          <w:i w:val="0"/>
          <w:iCs w:val="0"/>
          <w:caps w:val="0"/>
          <w:color w:val="444444"/>
          <w:spacing w:val="0"/>
          <w:sz w:val="24"/>
          <w:szCs w:val="24"/>
          <w:shd w:val="clear" w:fill="FFFFFF"/>
          <w:lang w:val="en-US" w:eastAsia="zh-CN"/>
        </w:rPr>
        <w:t>胫骨部件：</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钛合金生物性假体，冠状位梯形压配；能够提供抗旋作用、初始固定作用，以及远期的生物骨整合固定效果。</w:t>
      </w:r>
    </w:p>
    <w:p w14:paraId="6DE1B0A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bCs/>
          <w:i w:val="0"/>
          <w:iCs w:val="0"/>
          <w:caps w:val="0"/>
          <w:color w:val="444444"/>
          <w:spacing w:val="0"/>
          <w:sz w:val="24"/>
          <w:szCs w:val="24"/>
          <w:shd w:val="clear" w:fill="FFFFFF"/>
          <w:lang w:val="en-US" w:eastAsia="zh-CN"/>
        </w:rPr>
        <w:t>胫骨衬垫：</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高交联超高分子量聚乙烯材质；衬垫提供6mm-10mm不同规格选择；衬垫有取出抓持孔。</w:t>
      </w:r>
    </w:p>
    <w:p w14:paraId="1527B48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bCs/>
          <w:i w:val="0"/>
          <w:iCs w:val="0"/>
          <w:caps w:val="0"/>
          <w:color w:val="444444"/>
          <w:spacing w:val="0"/>
          <w:sz w:val="24"/>
          <w:szCs w:val="24"/>
          <w:shd w:val="clear" w:fill="FFFFFF"/>
          <w:lang w:val="en-US" w:eastAsia="zh-CN"/>
        </w:rPr>
        <w:t>距骨部件：</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外表面高抛光；非关节面下底面纯钛浆涂层提供远期生物固定效果。</w:t>
      </w:r>
    </w:p>
    <w:p w14:paraId="5FEA359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741E3F9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7B2242C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10、一次性吸引管（洗胃机专用）参数</w:t>
      </w:r>
    </w:p>
    <w:p w14:paraId="0F36ECC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连接洗胃机为患者洗胃。包含：1根进液管、1根排液管、1根进胃连接管（须与洗胃胃管衔接紧密）,1个Y型接头，包含进胃、出胃两个连接管。进液连接管长度＞1.2m、排液连接管长度＞1.5m、进胃连接管长度＞1m。硅胶材质。一次性无菌独立包装。</w:t>
      </w:r>
    </w:p>
    <w:p w14:paraId="65795DB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招标现场必须提供样品</w:t>
      </w:r>
    </w:p>
    <w:p w14:paraId="720F90E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2F0D1F2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11、高尔基体蛋白73参数</w:t>
      </w:r>
    </w:p>
    <w:p w14:paraId="35BF5C3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所投产品需在省标目录内。用于肝纤维化/肝硬化的辅助诊断，以及已经组织学确诊的肝癌患者的病情监测及疗效评价。提供不同规格试剂以匹配标本量的变化。采用化学发光法检测。需匹配新产业MAGLUMI X8全自动化学发光免疫分析仪或热景MQ60全自动化学发光免疫分析仪。试剂报价包含测试所需检测试剂、耗材、质控品、定标品、洗液等。需提供试剂耗材完成性能验证并负责仪器每年一次的校准。</w:t>
      </w:r>
    </w:p>
    <w:p w14:paraId="1B434A05">
      <w:p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7E9CD4DC">
      <w:p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8247C24">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12、一次性使用肠内营养输注器（配套费森尤斯A057、7751690AP肠内营养泵）参数</w:t>
      </w:r>
    </w:p>
    <w:p w14:paraId="7748B76B">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拉伸性能：泵用肠内营养输注管的软管部分及各连接处应能承受15N的线性拉力而不断裂或分离。泄漏性能：泵用肠内营养输注管的软管部分应承受200kPa(2.0bar)水压2min无泄漏。T型接口与输注管的连接部分应能承受50kPa(200mbar)水压30s无泄漏。泵用肠内营养输注管上的连接件(ENLock连接件)。输注管连接端尺寸应符合GB/T1962.1-2015的要求:喂养管连接端尺寸内径约2.9mm，外径约8.4mm，内径和外径允差为±10%。全紫色管路,一次性无菌独立包装。需匹配费森尤斯A057、7751690AP肠内营养泵。</w:t>
      </w:r>
    </w:p>
    <w:p w14:paraId="3A172F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328DC2AF">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6BC7D1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13、一次性使用肠内营养输注器（配套费森尤斯APPLIX Smart肠内营养泵）参数</w:t>
      </w:r>
    </w:p>
    <w:p w14:paraId="78E1EE1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拉伸性能：泵用肠内营养输注管的软管部分及各连接处应能承受15N的线性拉力而不断裂或分离。泄露性能：泵用肠内营养输注管的软管部分应承受200kPa(2.0bar)水压2min无泄露。泵用肠内营养输注管上的连接件(ENLock连接件)。肠内营养输注器具有弹性、总长度≥2000mm。一次性无菌独立包装。需匹配费森尤斯APPLIX Smart肠内营养泵（包括止液夹）。</w:t>
      </w:r>
    </w:p>
    <w:p w14:paraId="3DB25B4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558828A2">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658643F3">
      <w:p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14、一次性使用肠内营养输注器（配套北京来普惠EA323肠内营养泵）参数</w:t>
      </w:r>
    </w:p>
    <w:p w14:paraId="7D8C155D">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产品一次性肠内营养供给，由针式泵用接口、止液夹、导管、滴斗、硅橡胶泵管、流量调节器、冲洗三通、塔座等组成。管路需自带流量调节器。提供针式接口、袋装接口（不同包装量）、盖装接口等不同规格型号的管路。密封性能：密封所有进出口，施加125kPa水压无泄漏维持时间≥2分钟。拉伸性能：软管部分应能承受≥15N线型拉力不断裂或分离，各连接处和连接件能承受≥15N的线型拉力不分离。含有用于冲洗用途的三通，不中断连接管路可进行冲管或打药。末端塔座式接口，塔座可拆卸。透明管壁。全紫色泵管管路,一次性无菌独立包装。总导管长度≥1800mm,硅胶管110-112mm。需匹配北京来普惠康EA323的肠内营养泵。</w:t>
      </w:r>
    </w:p>
    <w:p w14:paraId="22D8753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1325155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47411C6">
      <w:p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15、一次性使用肠内营养输注器（配套深圳麦科田EP-60C肠内营养泵）参数</w:t>
      </w:r>
    </w:p>
    <w:p w14:paraId="48037678">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紫色管体，不含DEHP；多种链接接口和加药口；肠内营养管路中硅胶管长度≥75mm。管路长度兼容输液架和吊塔，输注器长度≥2300mm。卡扣处具有黑色磁环，辅助机器识别耗材在位。具有禁止静脉输液标识，保证肠内营养输注安全性。一次性无菌独立包装。需匹配深圳麦科田EP-60C肠内营养泵。</w:t>
      </w:r>
    </w:p>
    <w:p w14:paraId="091E38B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71B75C2A">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4256A187">
      <w:pPr>
        <w:numPr>
          <w:ilvl w:val="0"/>
          <w:numId w:val="0"/>
        </w:numPr>
        <w:rPr>
          <w:rFonts w:hint="default"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16、一次性使用肠内营养输注器（配套深圳圣诺SN-600N肠内营养泵）参数</w:t>
      </w:r>
    </w:p>
    <w:p w14:paraId="412951E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全紫色管道，材质为DINCH，不含DEHP增塑剂；管路由针刺接头或瓶装接头，导管，三通接头或Y型接头，步进接头，锁紧接头等组成，进气式设计；输注器长度≥2240mm,外径4.0-4.15mm，内径2.9-3.05mm；针式泵用接口与滴斗距离≥500mm。滴斗长度76mm±1mm，滴斗上端最宽处22mm±1mm，下端最窄处12mm±1mm。硅橡胶管长度110mm±2mm，能够有效围绕泵的转子。硅橡胶管下端塑料定位器，卡扣处外径8mm。塑插针能与输液瓶或瓶装营养液连接紧密，输注过程无液体渗漏；营养供应管路的软管和各连接处能承受不小于15N线性拉伸分离力（需要提供技术支持佐证）；一体化输注器转轮输出襻挂扣；每个最小包装均含有悬挂液体的网兜；一次性无菌独立包装。需匹配深圳圣诺SN-600N肠内营养泵。</w:t>
      </w:r>
    </w:p>
    <w:p w14:paraId="4EAB624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5AF93062">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623FD02">
      <w:pPr>
        <w:numPr>
          <w:ilvl w:val="0"/>
          <w:numId w:val="0"/>
        </w:numPr>
        <w:rPr>
          <w:rFonts w:hint="default"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17、一次性使用肠内营养输注器（配套荷兰纽迪西亚800型、英复特、英复特Flocare Infinity Ⅱ肠内营养泵）参数</w:t>
      </w:r>
    </w:p>
    <w:p w14:paraId="526E7F6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全紫色管路,管路与设备连接处为U型接口。管路由针刺接头或瓶装接头，导管，三通接头或Y型接头，步进接头，锁紧接头等组成，进气式设计；材质为DINCH，不含DEHP增塑剂；需要两种型号，型号1：长度≥224cm 外径4.0-4.15mm内径2.65-2.8mm；型号2：长度≥240cm外径4.0-4.15mm内径2.9-3.05mm；塑插针能与输液瓶或瓶装营养液连接紧密，输注过程无液体渗漏；肠内营养输注器具备防逆流功能；营养供应管路的软管和各连接处能承受不小于15N线性拉伸分离力（需要提供技术支持佐证），各连接口无开裂或脱离现象，与营养泵连接一键填充后末端自动识别并报警；水滴状阀门控制系统，可潮汐式输注；包含针刺式,瓶装,袋装式多种规格，可依靠重力持续性输注；每个最小包装均含有悬挂液体的网兜；一次性无菌独立包装。需匹配荷兰纽迪西亚800型、英复特、英复特Flocare Infinity Ⅱ肠内营养泵。</w:t>
      </w:r>
    </w:p>
    <w:p w14:paraId="49D1F90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3D94E36A">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65BCE230">
      <w:pPr>
        <w:numPr>
          <w:ilvl w:val="0"/>
          <w:numId w:val="0"/>
        </w:numPr>
        <w:rPr>
          <w:rFonts w:hint="default"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18、一次性使用肠内营养输注器（配套苏州泽德CY-1200肠内营养泵）参数</w:t>
      </w:r>
    </w:p>
    <w:p w14:paraId="4568A846">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肠内营养输注。不能经口进食需鼻胃/肠管进行肠内营养供给的患者。紫色管体，不含DEHP；多种链接接口和加药口；导管直径4.2mm±1mm，硅胶管端长度170mm±1mm；中方紫调节器两通接头透明；涵盖软滴瓶与滴瓶盖，稳定且不易炸管；管路长度兼容输液架和吊塔，输注器总长度≥2300mm；具备禁止静脉输液标识。一次性无菌独立包装。需匹配，苏州泽德CY-1200肠内营养泵。</w:t>
      </w:r>
    </w:p>
    <w:p w14:paraId="6790DC0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0D2B194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4FCDD076">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36B90"/>
    <w:rsid w:val="1CE36B90"/>
    <w:rsid w:val="52101BB7"/>
    <w:rsid w:val="73797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60"/>
      <w:ind w:left="460" w:hanging="360"/>
    </w:pPr>
    <w:rPr>
      <w:rFonts w:ascii="宋体" w:hAnsi="宋体" w:eastAsia="宋体" w:cs="宋体"/>
      <w:sz w:val="24"/>
      <w:szCs w:val="24"/>
      <w:lang w:val="en-US" w:eastAsia="zh-CN" w:bidi="ar-SA"/>
    </w:rPr>
  </w:style>
  <w:style w:type="paragraph" w:styleId="4">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1"/>
    <w:pPr>
      <w:spacing w:before="160"/>
      <w:ind w:left="460" w:hanging="360"/>
    </w:pPr>
    <w:rPr>
      <w:rFonts w:ascii="宋体" w:hAnsi="宋体" w:eastAsia="宋体" w:cs="宋体"/>
      <w:lang w:val="en-US" w:eastAsia="zh-CN" w:bidi="ar-SA"/>
    </w:rPr>
  </w:style>
  <w:style w:type="paragraph" w:customStyle="1" w:styleId="10">
    <w:name w:val="Table Text"/>
    <w:basedOn w:val="1"/>
    <w:autoRedefine/>
    <w:hidden/>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4079</Words>
  <Characters>4846</Characters>
  <Lines>0</Lines>
  <Paragraphs>0</Paragraphs>
  <TotalTime>2</TotalTime>
  <ScaleCrop>false</ScaleCrop>
  <LinksUpToDate>false</LinksUpToDate>
  <CharactersWithSpaces>4853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2026-07-05T19:09:00Z</dcterms:created>
  <dc:creator>pH</dc:creator>
  <cp:lastModifiedBy>pH</cp:lastModifiedBy>
  <dcterms:modified xsi:type="dcterms:W3CDTF">2026-07-19T21:32:46Z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27B5B09AB6F6409E9F6135A291AEF2C6_13</vt:lpwstr>
  </property>
  <property fmtid="{D5CDD505-2E9C-101B-9397-08002B2CF9AE}" pid="4" name="KSOTemplateDocerSaveRecord">
    <vt:lpwstr>eyJoZGlkIjoiNmI3NWU2ZDk4Nzg0OWJhZWNhYmJjMWE0ODcxOWYyOTkiLCJ1c2VySWQiOiIxMjE3NTg2MjUwIn0=</vt:lpwstr>
  </property>
</Properties>
</file>