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65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1、美容按摩床参数</w:t>
      </w:r>
    </w:p>
    <w:p w14:paraId="44E62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9台，控制价1600元/台。用于患者进行中医治疗使用。配置：枕头1个、呼吸头孔1个、堵头1个、置物架1套、手臂托板2套、床主体1套、皮革软面1套。规格≥1800×700×650mm。床头有固定方形枕头呼吸头孔及堵头，床体底部配有置物架及托板。床面皮革材质为人造皮革软面，内包高密度海绵厚度≥6公分。采用高弹性海绵皮面，可定制颜色。床架材质采用≥60mm×30mm矩形不锈钢钢管焊接或者冷轧钢管焊接烤漆制成，床体静态承重承载重量≥1000斤。采用六腿加粗方管承重。床腿采用大料≥50mm×50mm管壁1.0厚臂矩形不锈钢钢管焊接或者冷轧钢管焊接烤漆制成焊接密封牢固。处理光滑平整，并配有静音防滑脚垫。带置物架。两侧胳膊可以放置扶手处。手臂托板扶手内侧不碰腿。整机原厂质保5年。</w:t>
      </w:r>
    </w:p>
    <w:p w14:paraId="2986A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366FD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2、洗眼器参数</w:t>
      </w:r>
    </w:p>
    <w:p w14:paraId="6C6D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18台，控制价650元/台。医学检验科实验室安全防护基础设施。材质304/316不锈钢。流量≥1.5L/min。启动时间≤1秒。标准GB/T39144.1-2019。类型台式。使用年限≥5年。整机原厂质保5年</w:t>
      </w:r>
    </w:p>
    <w:p w14:paraId="342B4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DDC9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3、医用电动锯、钻参数</w:t>
      </w:r>
    </w:p>
    <w:p w14:paraId="385078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用于截骨。</w:t>
      </w:r>
    </w:p>
    <w:p w14:paraId="05090A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医用电动锯</w:t>
      </w:r>
    </w:p>
    <w:p w14:paraId="2495D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6把，控制价3500元/把。配置：主机1台、充电器1个、电池2个、消毒通道2个、锯片5个、器械盒1个。功率：主机最大输入≥500W。电机类型：有刷电机。转速/频次：空载频次0—18000cpm。振幅：4°±0.5°。噪声：空载噪声≤75db。径向：输出端径向圆跳动≤0.1mm。轴向：输出端轴向移动≤0.5mm。温度：常温条件下，空载运行5min主机表面温度不超过50C°。重量：主机重量≤1300g。主机机身：一体化铝合金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。电池：一体式电池仓（不可拆卸）。仓盖：仓盖采用旋钮旋转180°弹性抗震锁定结构。锯片：主机锯片安装接口为快装式，锯片平行面内360°旋转中的五个角度安装使用。显示：具有电量显示、电量检测功能。配快速充电器。1.镍氢电池。2.容量≥1800mA 。4.充电时间≤2小时。5.充满电后的电池，放电时间≥30分钟。灭菌方式高温高压。使用年限≥6年。整机原厂质保5年，设备故障维修期间提供备用机，现场培训一年1次。</w:t>
      </w:r>
    </w:p>
    <w:p w14:paraId="5AACB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医用电动钻</w:t>
      </w:r>
    </w:p>
    <w:p w14:paraId="05545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2把，控制价3500元/把。配置：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主机1台、充电器1个、电池2个、消毒通道2个、电钻钥匙2个、器械盒1个。功率：主机最大输入≥500W。电机类型：有刷电机。转速/频次：空载频次0—1200rpm。扭矩：输出扭矩0—3.5N.M，冲击扭矩最高8.5N.M。夹头夹持范围：0.8—7.9mm。噪声：空载噪声≤75db。径向：输出端径向圆跳动≤0.1mm。轴向：输出端轴向移动≤0.5mm。温度：常温条件下，空载运行5min主机表面温度≤50C°。重量：主机重量≤1500g。开关：主机具备旋钮式正转、停止、反转三挡调节开关功能。主机机身：一体化铝合金。电池：一体式电池仓（不可拆卸）。仓盖：仓盖采用旋钮旋转180°弹性抗震锁定结构。显示：具有电量显示、电量检测功能。配快速充电器。1.镍氢电池。2.容量≥1800mA 。4.充电时间≤2小时。5.充满电后的电池，放电时间≥30分钟。灭菌方式：高温高压。使用年限≥6年。整机原厂质保5年，设备故障维修期间提供备用机，现场培训一年1次。</w:t>
      </w:r>
    </w:p>
    <w:p w14:paraId="3E825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012CC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4、微波消融仪参数</w:t>
      </w:r>
    </w:p>
    <w:p w14:paraId="353EF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30000元。开展超声/CT经皮穿刺、腹腔镜、开腹术中消融，用于原发性肝癌、肝转移瘤、肝血管瘤、肝腺瘤、肝囊肿等良恶性病灶根治/姑息治疗，可术中清除手术残余微小肿瘤，封闭微小血管减少出血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配置：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主机1台、脚踏开关1个。工作频率为2450MHz,误差±50MHz。最大功率≥150W，最小步进1W。具有可调定时器，设定范围为1-15分钟。具有连续波和脉冲波两种消融模式。输出通道≥双通道。水冷配置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主机内置蠕动泵。针识别功能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自动识别。</w:t>
      </w:r>
      <w:r>
        <w:rPr>
          <w:rFonts w:hint="eastAsia" w:ascii="宋体" w:hAnsi="宋体" w:eastAsia="宋体" w:cs="宋体"/>
          <w:strike w:val="0"/>
          <w:dstrike w:val="0"/>
          <w:color w:val="auto"/>
          <w:sz w:val="24"/>
          <w:szCs w:val="24"/>
          <w:highlight w:val="none"/>
          <w:lang w:val="en-US" w:eastAsia="zh-CN"/>
        </w:rPr>
        <w:t>测温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配置：双通道高精度测温。测温精度±2℃。需报出配套耗材一次性使用微波消融针价格（控制价7000元/根）。使用年限≥8年。整机原厂质保5年。设备故障维修期间提供备用机。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提供2次现场培训。</w:t>
      </w:r>
    </w:p>
    <w:p w14:paraId="7714D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1A2C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5、干眼熏蒸仪参数</w:t>
      </w:r>
    </w:p>
    <w:p w14:paraId="245EA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1台，控制价70000元。用于治疗干眼症、睑板腺功能障碍等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。配置：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主机1台、电源线1根、管路5根、雾化杯5个、温控线1根、保险丝2只。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采用全触摸按键操作，可语音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播报。热雾模式温度设置：30-45℃。管路内部自主升温降温，无需外置加热管路（加热丝等）。凉雾模式温度设置（常温）：18-28℃。</w:t>
      </w:r>
      <w:r>
        <w:rPr>
          <w:rFonts w:hint="eastAsia" w:ascii="宋体" w:hAnsi="宋体" w:eastAsia="宋体" w:cs="宋体"/>
          <w:strike w:val="0"/>
          <w:dstrike w:val="0"/>
          <w:color w:val="auto"/>
          <w:sz w:val="24"/>
          <w:szCs w:val="24"/>
          <w:highlight w:val="none"/>
          <w:lang w:val="en-US" w:eastAsia="zh-CN"/>
        </w:rPr>
        <w:t>具备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全程语音播报，防干烧系统，内部多点温度传感器监测，PID系统智能变频监测出雾口温度。需报出配套耗材医用雾化眼罩、银离子抑菌液价格。医用雾化眼罩（控制价38元/副）由眼罩和导管两部分组成，采用高分子材料制成，非无菌提供。银离子抑菌液（控制价22元/瓶），40ml/瓶，以银离子为主要抑菌成份。使用年限≥5年。整机原厂质保5年。设备故障维修期间提供备用机。提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供现场培训一年1次。</w:t>
      </w:r>
    </w:p>
    <w:p w14:paraId="3D9F4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3FDE3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6、呼吸科设备一批</w:t>
      </w:r>
    </w:p>
    <w:p w14:paraId="3927E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摊片烤片机参数</w:t>
      </w:r>
    </w:p>
    <w:p w14:paraId="7294F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7000元。具备组织切片摊平、恒温烘烤功能，用于呼吸道活检切片病理前处理，适配临床检验、教学、科研制片操作。配置：主机1台、摊片锅组件1套、烤片支架1套、封闭防护罩1套。不锈钢箱体。具摊、烤、烘一体化设计。恒温加热方式：温度误差±0.5℃。具有斜插式和染色架等多种烘烤模式。全中文液晶显示，触摸按键。烘烤片数量（片）基础60片，额外增加2组、每组30片。使用年限≥6年。整机原厂质保5年。</w:t>
      </w:r>
    </w:p>
    <w:p w14:paraId="1AFCF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DD69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旋涡振荡器参数</w:t>
      </w:r>
    </w:p>
    <w:p w14:paraId="4997D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3000元。用于痰液、肺泡灌洗液、血清、生化试剂等临床微量标本振荡混匀，适配临床检验、教学、科研。配置：主机1台、标准振荡头1套、多规格泡沫适配器1套。具备圆周振荡模式，支持连续运转、点动两种运行方式。转速调节区间0～2800rpm，旋钮刻度调速结构。振荡圆周直径3mm，兼容0.2-2ml微量试管。配备加重底座。机身尺寸≥130mm×150mm×150mm。整机净重≥2.4kg。可配套不少于6套不同规格适配托盘。使用年限≥6年。整机原厂质保5年。提供现场培训1次。</w:t>
      </w:r>
    </w:p>
    <w:p w14:paraId="08242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37C95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电热恒温水浴箱参数</w:t>
      </w:r>
    </w:p>
    <w:p w14:paraId="6E104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1台，控制价3000元。作精密恒温和辅助加热之用。配置：主机1套。304不锈钢一体成型内胆，圆弧转角无死角。冷轧钢板静电喷涂外壳，防锈防腐蚀。整机配置保温填充隔热层。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水浴盖板配套多孔隔热盖、组合孔盖/圆孔盖。设有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可调防滑支撑机脚，水平调平。控温范围+5～99℃。恒温波动度±0.5℃。跟踪报警±2℃。容积≥10L。内胆尺寸（W*D*H）≥300*240*150mm。外形尺寸（W*D*H）≥340*290*280mm。定时范围1～5999min。双列四孔，每孔五圈，规格尺寸:Ф30-120之间。使用年限≥6年。整机原厂质保5年。提供装机培训1次。</w:t>
      </w:r>
    </w:p>
    <w:p w14:paraId="4A9EAD6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7E51D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多功能细胞分类计数仪参数</w:t>
      </w:r>
    </w:p>
    <w:p w14:paraId="227EA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5000元。可实现骨髓、外周血、呼吸道脱落细胞分类计数，自动计算百分比、粒红比及统计学指标，适配临床镜检、教学、科研数据采集。配置：计数工作站主机1台。工作站配备≥32分区功能按键，分档输入输出，适配多类细胞同步计数。配备8位LED数码总计数显示，单通道最大计数值5位。百分比、粒红比、白红比保留两位小数，运算误差±1个字。具备计数、倒计数区分声光提醒，分多档提示音效，具备大/小/静音三档音量。内置加减乘除、累加、百分率、均值、标准差等统计学运算功能。各运算状态配备状态指示灯，实时显示工作模式。连续工作时长≥12h。整机重量≤0.6kg。外形尺寸≥160mm×200mm×50mm。使用年限≥8年。整机原厂质保5年。提供装机培训1次。</w:t>
      </w:r>
    </w:p>
    <w:p w14:paraId="1ADE7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62D17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超声雾化器参数</w:t>
      </w:r>
    </w:p>
    <w:p w14:paraId="00F4F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1000元。用于机械通气、无创通气、高频振荡通气、高流量氧疗治疗及自主呼吸患者的雾化治疗。配置：雾化主机1套、雾化杯1套、储雾罐1套、面罩1套、雾化咬嘴1套。雾化主机噪音＜50dB，有储备电，控制器有雾化时间模式选择。雾化器可用于机械通气雾化使用，可连接呼吸机管路、湿化罐，可应用于连续雾化或者定量雾化；雾化杯容积为8ml，误差为±10%；雾化粒径＜5μm；雾化残液量≤0.2mL。需报出配套耗材雾化组件价格（控制价80元/套），材质：面罩PVC、药杯PP/PC、咬嘴PP/TPE，型号：成人型，雾化网：医用级不锈钢或者钛合金、无菌。使用年限≥6年，整机原厂质保5年，网片坏后可免费换新。设备故障维修期间提供备用机。现场培训一年2次。</w:t>
      </w:r>
    </w:p>
    <w:p w14:paraId="688CE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56B88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7、内镜专用诊疗车参数</w:t>
      </w:r>
    </w:p>
    <w:p w14:paraId="55083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台，控制价17000元/台。用于内镜检查操作及术后转运复苏全流程。配置：内镜电动转运床1张、床盖罩1个、输液架底座1个、输液架1个、体位靠背1个。一床多用：内镜诊疗时可作为诊疗台使用，麻醉复苏时可作为麻醉复苏椅使用。平床状态规格：诊疗床状态长度≤1830mm，宽度≤710mm（使用围挡时），诊疗床状态高度范围：550-900mm。椅位状态规格：复苏椅状态长度≤1200mm，宽度≤710mm（使用围挡时），座椅复苏位状态高度范围：1400-1750mm。电控部分：整体可电动升降，背板可躺坐调节与背膝联动，腿板可单独手动调节角度适用不同体位诊疗需求。高度电动升降功能，具有≥2根气压杆升降辅助调节，座椅复苏位状态下也可以进行升降。升降操作方式：手控开关和脚控开关两种方式。躺卧角度调节：气压杆辅助无级多角度调节。床面材质：内置≤5cm海绵+皮革一体包裹。护栏：具备四段式分体护栏，四个护栏可分别调节，航空卡口安全带。椅位状态：坐椅位状态后仰倾斜角度：≥9度，具有≥2根气压杆倾斜辅助调节。脚轮要求：脚轮直径≥150mm全锁型，三档一体控制（全锁、万向、直行）。进液防护：主体防进液等级IPX4，脚控开关防进液等级IPX8。使用年限≥6年。整机原厂质保5年。设备故障维修期间提供备用机。提供现场培训一年一次。</w:t>
      </w:r>
    </w:p>
    <w:p w14:paraId="19EB4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5A9E1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8、胰岛素泵参数</w:t>
      </w:r>
    </w:p>
    <w:p w14:paraId="4A6D3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台，控制价20000元/台。胰岛素泵是一种持续皮下胰岛素输注设备，用于全年龄段糖尿病患者的治疗。其核心功能是模拟人体健康胰腺的生理胰岛素分泌模式，从而更精准、灵活地控制血糖，是目前糖尿病患者胰岛素强化治疗的最重要设备。配置：胰岛素泵体（主机）1台、胰岛素泵电池2块、泵电池充电器1个、控制器1条、助针器2个、与胰岛素泵同品牌专用管路组件3套。控制方式：控制器和手机APP均能实现全功能操作。基础率分段：1-48段均可设定，至少具备6/24/48段3种基础率自动分配功能。基础率范围：0-35U/h，增量步长≤0.025U/h。最小可运行基础率≤0.025U/h（不含0U/h）。基础率预设≥8种输注预设。临时基础率可切换U/h（输注量）、%（百分比）两种调整方式。临时基础率设置范围0-35U/h，百分比调整时0-300%，步进量10%。最小大剂量输注量≤0.025U。大剂量增加量至少包含0.025/0.05/0.1三种可选。大剂量类型可区分餐时与临时，且在大剂量历史记录里面显示。大剂量预设≥8种输注预设。大剂量输注方式≥3种（如常规，方波，双波）可设置调整。电池：≥100mAh锂电池，可充电可拆卸，非一次性干电池。过流和欠流的保护：单一故障时可能传输的最大丸剂量为≤0.25U。阻塞检查：触发阻塞报警胰岛素输注阻塞量平均值≤达到2.4U时。储药器容积≥3mL。马达：一体式直流马达，含金属变速箱。泵体重量≤30g(不含储药器和电池)。佩戴方式：提供便携式与贴敷式两种选择。报警提示方式：声响/震动/亮灯等。防水级别≥IPX7。记录储存：连接APP同步后实现历史记录回顾存储≥1000条，10年以上不丢失。应用软件（设备软件、技术等）：①胰岛素泵控制器APP②胰岛素泵数据管理系统。需报出配套耗材胰岛素泵用一次性输注管路和针头（控制价107元/个）、储药器（控制价27元/个）价格。设备使用年限≥6年。整机原厂质保5年。设备故障维修期间提供备用机。提供现场培训一年1次。</w:t>
      </w:r>
    </w:p>
    <w:p w14:paraId="03E72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33451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07BF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9、胶体金免疫层析分析仪参数</w:t>
      </w:r>
    </w:p>
    <w:p w14:paraId="77A3C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台，控制价38000元/台。通过唾液胃蛋白酶检测实现胃食管反流病、反流相关食管及咽喉肿瘤的早期筛查与鉴别诊断。配置：主机1台、软件1套、热敏打印纸5卷。检测原理：干式荧光免疫法。检测通道≥12通道。样本类型：全血、血清、血浆、尿液。检测速度：单次检测耗时≤10秒。检测方式：支持一卡多项。可检测项目：可检测胃蛋白酶、幽门螺杆菌分型等，支持≥250个不同项目。台间差：Bis%≤5%（系列标准卡）。检测性能：重复性CV≤10%，稳定性≤±8%。操作自动化：自动检测，自动弃卡。打印：内置热敏打印机及支持外置打印设备连接。系统连接：支持可通过LIS连接传送测试结果及数据导出,报价包含与医院信息系统连接的全部费用。系统功能：用户登录、用户管理、样品测试、打印报告、信息查询、数据统计、判读显示、试剂卡C线异常、试剂卡插反/未到位、试剂卡过期等有警告提示。需报出配套耗材胃蛋白酶检测试剂盒（免疫荧光法）价格（控制价180元/袋）。材质：塑料卡。样本类型：唾液。方法:双抗体夹心法等。取样量:0.5mL。反应时间:10min。阴性符合率:检测含有胰蛋白酶(浓度范围0.8-1.2μg/mL)、α-淀粉酶(浓度范围0.8-1.2μg/mL)的阴性参考品(N1-N5)，检测结果均为阴性，阴性参考品符合率为100%。阳性符合率：检测阳性程度分别为强、中、弱的阳性参考品(P1-P3)，检测结果均为阳性，阳性参考品符合率为100%。重复性:检测阳性程度分别为中、弱的重复性参考品(R1-R2)，阳性检出率均为100%，且批内CV均≤15%，批间CV均≤15%。储存条件及有效期:试剂盒于2~30℃保存，未开封试剂盒自生产之日起24个月内有效。设备使用年限≥6年。整机原厂质保5年。设备故障维修期间提供备用机。提供现场培训一年两次。</w:t>
      </w:r>
    </w:p>
    <w:p w14:paraId="5009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color w:val="C00000"/>
          <w:sz w:val="24"/>
          <w:szCs w:val="24"/>
          <w:highlight w:val="none"/>
          <w:lang w:val="en-US" w:eastAsia="zh-CN"/>
        </w:rPr>
      </w:pPr>
    </w:p>
    <w:p w14:paraId="20296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08C2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10、双极电凝系统参数</w:t>
      </w:r>
    </w:p>
    <w:p w14:paraId="1452C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套，控制价70000元。主要用于门诊行鼻出血止血术、鼻腔小肿物切除术、扁桃体术后出血止血术、咽部良性小肿物切除术等。配置：主机1台、负极板连接线1条、双极脚踏1个、台车1辆。主机：单极切割、单极凝血和双极凝血功能分别为三个或以上独立的功能区域，直观操作。工作模式：单双极≥9个模式。双极电凝：≥2种工作模式，最大功率≥100W。单极电凝：≥3种，凝血最大功率≥120W。单极纯切：允许最大功率切割≥300W。单极混切：≥3种混切模式，混切最大功率≥250W。电压调节：具有自动电压调节功能，设备为间歇加载连续运行制式的，运行间隔时间为10s/30s。关机记忆：能够断电或关机自动保存功率，开机自动复现上次输出功率。自检及报警：支持开机自检，自检异常报警功能，并带声光报警提示。功率输出：具有手控和脚控功率输出功能，输出过程中伴有声光提示，医生可根据声音状态实时了解机器的工作情况，工作音量可调。需报出配套耗材高频手术电极、高频手术刀头和双极电凝镊价格。高频手术电极（控制价80元/个）总长度≥190mm，枪状弯角弯头，无菌。高频手术刀头（控制价120元/个）通用接头，无菌。双极电凝镊（控制价1080元/个）总长度≥190mm，枪状弯角弯头，无菌。使用年限≥10年。整机原厂质保5年。设备故障维修期间提供备用机。提供一年2次培训。</w:t>
      </w:r>
    </w:p>
    <w:p w14:paraId="240D5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2772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11、熏蒸治疗仪参数</w:t>
      </w:r>
    </w:p>
    <w:p w14:paraId="1CEEA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台，控制价20000元/台。具备中药熏蒸功能、温水冲洗、热风烘干、自动冲洗管路、自动泵药功能等。配置：主机一台、防漏电电源插头一个、药杯一个、药物熏蒸疗系统一套、热水疗系统一套、热风疗系统一套、排污系统一套、台座一个、水处理系统一套。由座椅、控制器、接入水管、超声雾化冲洗容器、座垫组成，座椅包括椅架、椅内水加热器和臭氧发生器组成。软质高靠背落座熏洗。雾化、冲洗、烘干、灭菌可任意设置，功能可单独使用。加热采用水、电分离。超声雾化机：超声雾化量≥1ml/min；雾化器超声工作频率与标称频率的偏差：±10%；雾化器正常工作时的整机噪声：≤50dB。防漏电屏蔽电源线，电源线长度≥1.2米。水处理系统：配备臭氧发生器，水中臭氧的含量0.005-0.025mg/L。使用年限≥8年。整机原厂质保5年。设备故障维修期间提供备用机。提供一年一次培训。</w:t>
      </w:r>
    </w:p>
    <w:p w14:paraId="3CD6D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7AEB6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12、结肠水疗仪参数</w:t>
      </w:r>
    </w:p>
    <w:p w14:paraId="3FCC9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24000元。适用于肠镜检查前的肠道准备和大肠肛门病手术前的肠道准备。配置：结肠水疗仪1台、检查床1台、水处理系统1套、排污管1根。显示器：≥19寸液晶支持遥控操作。双重温度保护：水温可调，具备双重温度保护功能；超出设定温度时自动停止加热，第二重保护温差≤0.5℃。双重压力保护：灌注压力可调，实时监测肠腔压力；达到压力上限时自动停止，具备双重压力保护功能，两级保护阈值差≤0.5kPa。电气安全保护：采用≤12V低电压控制；加热系统具备自动断电及双重安全保护功能；外壳漏电流≤0.1mA。臭氧消毒系统：配置臭氧发生装置，具备臭氧消毒功能，可用于设备相关管路及规定部位的消毒处理。使用年限≥8年。整机原厂质保8年。设备故障维修期间提供备用机。提供现场培训一年一次。</w:t>
      </w:r>
    </w:p>
    <w:p w14:paraId="63980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54EDC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13、肺功能测试系统参数</w:t>
      </w:r>
    </w:p>
    <w:p w14:paraId="30D74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套，控制价50000元。用于患者肺功能检查，包含：慢肺活量SVC、用力肺活量FVC、每分钟最大通气量MVV和静息分钟通气量MV。配置：主机（含彩色触摸显示屏）1台、传感器手柄1个、肺功能检查信息管理系统1套、流量传感器探头2个、手柄支架1个、手柄电缆1根、3升定标筒1个、内置后备锂电池1个、打印纸5卷、WIFI无线网卡1个、路由器1个。①检测包含：FVC、FEV1、FEV3、FEV6、FEV1/FVC、FEV1/VCMax、PEF、FEF25、FEF50、FEF75、MMEF、VEXP、FET呼气指标，PIF等吸气指标；VC、VT、IRV、ERV、IC等参数。②具有分钟最大通气量测试功能模块：MVV、VT、RR。③可进行支气管舒张，支持用药前后对比测试。④可检测呼气、吸气指标，实时显示动态曲线（流量容积曲线、时间容积曲线）；含有预计值。⑤便携式设计。⑥传感器可拆卸、清洗、消毒。⑦可显示多次测量预设曲线，叠加图形，用不同颜色进行实测曲线对比。⑧体积检测：流量积分法。⑨流量范围：±1L/s，流速精度：±5%或±200ml/s，取大者。⑩FEF25，FEF50，FEF75精度±5%或±200ml/s，取大者，对小气道进行评估。⑪容量范围：0-16L（满足运动人群的测试需求）；容量精度：±3%或±0.05L，取大者。⑫流量探头呼气阻力：在0~16L/s范围内，≤0.15kPa/L/s。⑬≥4寸触摸屏和整机集成外置快捷按键。⑭热敏打印机，热敏打印宽度110mm。⑮存储病例：可扩展存储卡，≥9000份病人数据存储。⑯数据接口：主机提供4个USB接口。⑰具备BTPS校正的外置环境参数传感器并具备BTPS自动修正功能，检测参数要求：大气压：30-110KPa；温度：-20-85℃；相对湿度：0-100%。⑱设备使用年限≥6年。⑲可根据检测结果进行生成检测报告，并自动质控评级。⑳具备无线数据互联功能。㉑支持单台仪器离线工作及与PC端联机工作模式。㉒支持对接医院HIS系统，报价包含与医院系统连接的全部费用。整机原厂质保5年。设备故障维修期间提供备用机。提供现场培训一年一次。</w:t>
      </w:r>
    </w:p>
    <w:p w14:paraId="43CAB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23EEA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14、碳13呼气测定分析仪参数</w:t>
      </w:r>
    </w:p>
    <w:p w14:paraId="61867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台，控制价25000元/台。通过13C呼气试验检测胃幽门螺杆菌感染情况。配置：主机1台、检测仪软件系统1套、微型计算机1台、图文输出设备1台、液晶显示器1台、红光扫描器1台。样本采集通道：≥10通道。输出功率180VA。测量范围：CO2浓度1%-10%。样本体积≥120ml/袋。环境温度：10℃-30℃。相对湿度≤70%。大气压力86kpa-106kpa。预热时间≤45min。精密度（δsd）≤0.25‰。稳定性（CV）≤3%。分析速度：每个样品分析时间≤100s。检测灵敏度：CO2最小检测浓度：0.5%，误差≤±0.1%。应用软件：①C13呼气检测专用软件的功能包括：用户登录、用户管理、样品测试、打印报告、信息查询、数据统计、自检、校正。②C13呼气检测专用软件可连接HIS、LIS及体检主检系统。需报出配套耗材13C呼气试验试剂盒价格（控制价78元/袋），①剂量：75mg②剂型：颗粒剂③含有酸化配方。设备使用年限≥6年。整机原厂质保5年。设备故障维修期间提供备用机。提供现场培训一年两次。</w:t>
      </w:r>
    </w:p>
    <w:p w14:paraId="0690B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63013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15、牙周喷砂机参数</w:t>
      </w:r>
    </w:p>
    <w:p w14:paraId="2130F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台，控制价25000元/台。包含超声系统和喷砂系统，超声系统用于口腔临床治疗中做牙周治疗，清除龈上、龈下的牙结石、牙菌斑，牙齿根管的清洁、荡洗；喷砂系统用于清除龈上、龈下的牙菌斑、色素。配置：主机1台、脚踏开关1个、超声手柄2支、工作尖14枚、限力扳手2个、喷砂手柄2把、粉罐2个、水瓶2个、消毒盒2个、编织管1根、通针2根、过滤器2个、O形圈1包、密封垫2个、根管扳手2个、LED灯2个、喷嘴10个、喷嘴扳手1个、三通8-8-61个、公接头1个、母接头1个、快速接头1个、PU管20个、小推车1辆、牙科喷砂粉3瓶、菌斑指示剂2瓶。输出的尖端主振动偏移：≤90μm。输出的尖端振动频率：30±5kHz。输出的半偏移力：≤10N。尖端输出功率：3W～20W。进水压力：0.1MPa～0.5MPa。进气压力：0.55MPa～0.75MPa。具备龈上、龈下喷砂洁治，超声洁治，牙周治疗，根管治疗功能。前面板采用触控液晶屏，且可调节功率、水量、温度。超声、喷砂功率水量0-12档调节。具有标准模式、无水模式、清洗模式、增强模式四种脚踏功能模式。内置变压器，实现内部水电分离。水路、气路接口需带过滤器。配置不小于1200mL大容量水瓶。可实现自动供水，也可使用外接水路供水。供水采用提示灯设计。可使用钛合金工作尖。超声手柄、喷砂手柄尾线接口带有防滑纹。手柄支架带感应功能，可根据所选用工作手柄自动切换工作模式。喷砂手柄采用三段式设计，手柄尾线可拆卸。手柄可自由拔插、拆卸，能在高温和高压环境中进行灭菌处理。喷嘴采用四孔设计，三孔出砂一孔出水，实现360°旋转。有龈上、龈下独立喷砂粉罐，显示砂粉刻度。粉罐采用全透明漏斗形设计，可360°旋转。具备清洁模式。具备水路加热功能，且有不少于五种加热温度选择。需报出配套耗材喷砂粉、工作尖价格，喷砂粉（控制价180元）粉体均为圆角结晶、水溶性良好，工作尖（控制价260元）硬度高、导热稳定。使用年限≥10年。整机原厂质保5年。</w:t>
      </w:r>
    </w:p>
    <w:p w14:paraId="62AC4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12C7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16、可视喉镜参数</w:t>
      </w:r>
    </w:p>
    <w:p w14:paraId="1A71F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11台，控制价2000元/台。供临床挑起患儿会厌部，暴露声门，指引医护人员准确进行气管插管，供麻醉或急救用。配置：主机1台、显示屏1个、摄像系统1套。显示器能：上下0°-130°转动，左右0°-270°转动，触摸显示屏，支持拍照录像。摄像头与镜片前端的最高垂直距离：20mm-30mm。渐缩型镜片前端厚度：9mm-13mm。镜片角度：7°-42°。视场角：60°±15%。内置全密封防水LED光源，光照度≥150Lux。显示器线素≥640*480。分辨率：≥3.72LP/mm。纺锤型短手柄设计。采用镰刀型设计。支持低温等离子灭菌。需报出配套耗材一次性使用喉镜片价格（控制价33元/个），成人、儿童、婴幼儿、困难气道型号齐全，无菌，可插入镜片长度：50mm-110mm。使用年限≥6年。整机原厂质保5年。维修备用机设备故障维修期间提供备用机。</w:t>
      </w:r>
    </w:p>
    <w:p w14:paraId="65131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266D6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17、组合输液泵/注射泵台车参数</w:t>
      </w:r>
    </w:p>
    <w:p w14:paraId="071E3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台，控制价2000元/台。组合输液泵/注射泵台车是ICU医疗环境中用于承载、整合和辅助输液泵/注射泵工作的移动式支架设备。其核心功能在于优化临床输液/注射工作流程，提升治疗的安全性与效率。配置：台车框架1台、底座（含静音轮）1个、置物台1个、挂篮1个、可升降输液挂钩1个、漏电保护开关1个、注射泵/输液泵电源线插口/接口≥8个、扶手1个。底座（含静音轮）：≥3寸静音轮，四个脚轮均带制动器刹车制动静止时台车无滑移。适配泵数量：能同时适配4台以上双通道注射泵、2台输液泵同时使用。框架：框架为不锈钢或铝合金，防静电、防腐喷涂工艺。框架承重≥80kg。设备固定装置：有可调节锁紧卡扣、能适配主流品牌输液泵、微量注射泵。台车尺寸：整体长宽高适配病房、ICU通道，宽度≤650mm，高度范围≥1000–1500mm，台面深度≥420m。供电配电系统：总额定输入功率≥2500W，满足多台泵同时工作供电。配电系统具备防过流、防短路、防漏电三重防护，提供电气安全检测报告。漏电保护装置：台车内置独立医用级漏电保护开关，过载、短路、漏电自动断电保护，开关带透明防护防尘盖。插线接口配置：医用阻燃排插，插孔数量≥8位国标五孔插座；插座外壳阻燃等级V0级，防触电安全门，单个插座额定电流10A。使用年限≥6年。整机原厂质保5年。设备故障维修期间提供备用机。提供现场培训一年一次。</w:t>
      </w:r>
    </w:p>
    <w:p w14:paraId="575A9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B599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18、放疗病号用负压固定装置参数</w:t>
      </w:r>
    </w:p>
    <w:p w14:paraId="7B197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20000元/台。用于满足肿瘤放射治疗体位固定、精准定位的临床需求，适配医院现有放疗定位设备（如CT模拟定位机、直线加速器），确保定位精度、稳定性及患者舒适性。配置：真空泵2台、头部真空袋4个、头颈肩部真空袋4个、四肢部真空袋4个、胸部真空袋4个、体部真空袋100*80cm4个、体部真空袋120*80cm4个。真空泵用途：可快速抽取负压袋内空气，达到预设负压值并保持稳定。真空泵设计：采用无油设计。真空泵兼容性：可与多种规格负压袋接口适配，配备通用接口，抽气过程中无漏气、无噪音异常。真空泵抽气速率：最大抽气速率≥33L/min，可在30~60秒内将标准规格负压袋抽至预设负压值。真空泵外形：体积小巧，便于移动和存放，净重≤10kg。真空负压袋材质：外层采用TPU复合面料，内层填充高聚合物颗粒，材质无异味、无刺激性，具备抑菌性能，可直接接触患者皮肤，可擦拭消毒。真空负压袋安全性：面料无破损、无漏气隐患，颗粒无脱落风险，经6MV-X射线照射时，射线透过率≥99.5%，不产生扫描伪影，不影响CT定位扫描精度与放疗效果。真空负压袋塑形性能：可重复塑形调整，抽真空完成定型，定型后至少保持原形1个月，无漏气、不变形；塑形后包裹性强、柔软度高。真空负压袋稳定性：定型后在支撑面任意4个位置，每个位置施加150N作用力（作用面积200mm×100mm），持续≥30S无塌陷、无变形。真空负压袋回缩性能：定型后24小时内回缩率≤2%。真空负压袋操作性能：配备专用抽气接口，接口密封性好，塑形时间≥90S。真空负压袋使用寿命：单次使用可重复塑形≥10次。需报出真空袋价格。设备使用年限≥6年。整机原厂质保3年。维修备用机提供备用真空泵。提供现场培训2次。</w:t>
      </w:r>
    </w:p>
    <w:p w14:paraId="54EA0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52791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19、气囊压力表参数</w:t>
      </w:r>
    </w:p>
    <w:p w14:paraId="04B83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13个，控制价1500元/个。用于各种气管插管、气管切开插管、双腔支气管插管等的高容量低压气管插管的套囊压力监测以及充气、放气压力调节。气囊测压表1个、连接管路1根。压力量程:≥0-120cmH20，压力测量范围:≥0-120cmH20。基本误差:≤±2cmH20。有充气功能，可将气囊内气体充到指定范围。有放气功能，可将气囊内气体放出。密封性≤2cmH20/min。每分钟系统压力下降≤2cmH20。压力波动相应:施加微小压力变化时指针变化≤1cmH20。使用年限≥6年。整机原厂质保5年。维修备用机设备故障维修时提供备用机。现场培训一年一次。</w:t>
      </w:r>
    </w:p>
    <w:p w14:paraId="72F72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9B4E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20、电子分析天平参数</w:t>
      </w:r>
    </w:p>
    <w:p w14:paraId="2C6C8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台，控制价8000元/台。满足色谱/质谱检测相关标准品、对照品及微量试剂的精密称量需求，适合日常频繁称量操作。电子分析天平主机1台、防风罩组件1套、称量盘1个。最大称量值≥220g。可读性0.0001g。重复性±0.0001g。线性误差±0.0002g。典型稳定时间≤2秒。使用年限≥5年。整机原厂质保5年。</w:t>
      </w:r>
    </w:p>
    <w:p w14:paraId="7CA27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7D130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21、电热恒温干燥箱参数</w:t>
      </w:r>
    </w:p>
    <w:p w14:paraId="2FB79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台，控制价3200元/台。用于烘干炮制中药材、消毒诊疗器具、实验样本干燥、试剂预处理、开展药品稳定性测试、制剂烘干、器械灭菌前干燥处理等工作。主机1台、不锈钢内胆1个、定时功能模块1个、超温保护系统1个。温度范围：室温+10℃～300℃，温度波动度：±1℃。温度均匀度：≤最高工作温度±2.5%。箱内循环方式：强制对流，底部加热。报警类型：超温报警、温度探头损坏报警。参考内部尺寸W×D×H（cm）：≥35×35×35。参考外部尺寸W×D×H（cm）：≥68×53×65。内部容积（L）：≥40L，可抽拉活动式搁板≥2个，间距可调。外箱材质：冷轧钢板表面喷塑，内部材质：SUS不锈钢板。具备出风口。底部电阻丝加热，有选温开关。风机可关闭，成为自然对流的恒温干燥箱。LED数码管显示P.I.D.温度控制器。连续运行或定时运行：0~9999min。具有参数记忆功能。内箱采用圆弧结构设计。整机原厂质保5年。现场培训每年一次院内现场培训。</w:t>
      </w:r>
    </w:p>
    <w:p w14:paraId="3D142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DE2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22、精子计数板参数</w:t>
      </w:r>
    </w:p>
    <w:p w14:paraId="4C70B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个，7500元/个。精子计数板主要用于精液常规检查，精液冲池，精子计数分析。精子计数板主板1个、精子计数板盖板1个。池深10μm（0.01mm）,精子能自由游动且处于同一焦平面。网格盖玻片上有100个0.1×0.1mm的小格，无需换算系数。样本可直接使用未稀释精液。使用年限≥5年。整机原厂质保5年。</w:t>
      </w:r>
    </w:p>
    <w:p w14:paraId="4F26A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highlight w:val="none"/>
          <w:lang w:val="en-US" w:eastAsia="zh-CN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2NWJhNjMxNjQ0MDk5M2UzNmZjNTU4NzE3MjgwNzAifQ=="/>
  </w:docVars>
  <w:rsids>
    <w:rsidRoot w:val="17CD5B65"/>
    <w:rsid w:val="001077FF"/>
    <w:rsid w:val="00451885"/>
    <w:rsid w:val="005E6DE9"/>
    <w:rsid w:val="00713548"/>
    <w:rsid w:val="00784A7E"/>
    <w:rsid w:val="007D6286"/>
    <w:rsid w:val="00904DF2"/>
    <w:rsid w:val="00911407"/>
    <w:rsid w:val="00AF4637"/>
    <w:rsid w:val="00B2494E"/>
    <w:rsid w:val="00B7758F"/>
    <w:rsid w:val="00C47429"/>
    <w:rsid w:val="00E918BE"/>
    <w:rsid w:val="00EA4318"/>
    <w:rsid w:val="00F37B4B"/>
    <w:rsid w:val="03187ECB"/>
    <w:rsid w:val="034D35F5"/>
    <w:rsid w:val="034E58B1"/>
    <w:rsid w:val="038720C2"/>
    <w:rsid w:val="03CF5817"/>
    <w:rsid w:val="03F47384"/>
    <w:rsid w:val="040C6A6B"/>
    <w:rsid w:val="04240D29"/>
    <w:rsid w:val="04610B65"/>
    <w:rsid w:val="048A1081"/>
    <w:rsid w:val="04FA2D68"/>
    <w:rsid w:val="05972365"/>
    <w:rsid w:val="06427ADE"/>
    <w:rsid w:val="076444C8"/>
    <w:rsid w:val="079C0106"/>
    <w:rsid w:val="07F70730"/>
    <w:rsid w:val="08867B7B"/>
    <w:rsid w:val="09177D3F"/>
    <w:rsid w:val="09616470"/>
    <w:rsid w:val="0A5151D8"/>
    <w:rsid w:val="0AD80DEB"/>
    <w:rsid w:val="0B9B674E"/>
    <w:rsid w:val="0BE301C1"/>
    <w:rsid w:val="0BEA0098"/>
    <w:rsid w:val="0CA57A5D"/>
    <w:rsid w:val="0D676721"/>
    <w:rsid w:val="0DC331A1"/>
    <w:rsid w:val="0DF651CB"/>
    <w:rsid w:val="0EE90140"/>
    <w:rsid w:val="0F231EC9"/>
    <w:rsid w:val="10595C94"/>
    <w:rsid w:val="10B25ED0"/>
    <w:rsid w:val="10E24DDC"/>
    <w:rsid w:val="11804B48"/>
    <w:rsid w:val="11B4151B"/>
    <w:rsid w:val="124427B8"/>
    <w:rsid w:val="124F64F3"/>
    <w:rsid w:val="12C90477"/>
    <w:rsid w:val="136C7D4D"/>
    <w:rsid w:val="13F56BD4"/>
    <w:rsid w:val="143476FC"/>
    <w:rsid w:val="15196E65"/>
    <w:rsid w:val="15597F0E"/>
    <w:rsid w:val="15A563D8"/>
    <w:rsid w:val="1651241D"/>
    <w:rsid w:val="16D62279"/>
    <w:rsid w:val="172B0DE8"/>
    <w:rsid w:val="178DB08D"/>
    <w:rsid w:val="17CD5B65"/>
    <w:rsid w:val="17EE4066"/>
    <w:rsid w:val="17EF2D94"/>
    <w:rsid w:val="185B0369"/>
    <w:rsid w:val="18B47186"/>
    <w:rsid w:val="19EE1B35"/>
    <w:rsid w:val="1AE01172"/>
    <w:rsid w:val="1AE259D8"/>
    <w:rsid w:val="1B0F169F"/>
    <w:rsid w:val="1D191694"/>
    <w:rsid w:val="1D3A7D4E"/>
    <w:rsid w:val="1DC859F7"/>
    <w:rsid w:val="1DE07B5A"/>
    <w:rsid w:val="1E435E19"/>
    <w:rsid w:val="1EBB287B"/>
    <w:rsid w:val="20217914"/>
    <w:rsid w:val="20EB1A8B"/>
    <w:rsid w:val="21313216"/>
    <w:rsid w:val="22A2261D"/>
    <w:rsid w:val="2307194D"/>
    <w:rsid w:val="234F1FB2"/>
    <w:rsid w:val="23917F22"/>
    <w:rsid w:val="23FF13A9"/>
    <w:rsid w:val="249C1DC3"/>
    <w:rsid w:val="24CD6DB3"/>
    <w:rsid w:val="25B501B5"/>
    <w:rsid w:val="25C1100C"/>
    <w:rsid w:val="25C14C9E"/>
    <w:rsid w:val="26151AA0"/>
    <w:rsid w:val="26C901B4"/>
    <w:rsid w:val="27195933"/>
    <w:rsid w:val="272950FB"/>
    <w:rsid w:val="27D112AE"/>
    <w:rsid w:val="27F4659B"/>
    <w:rsid w:val="28292E99"/>
    <w:rsid w:val="28A6242F"/>
    <w:rsid w:val="28B60E93"/>
    <w:rsid w:val="28D02A86"/>
    <w:rsid w:val="290C0D46"/>
    <w:rsid w:val="29D137E8"/>
    <w:rsid w:val="29F55728"/>
    <w:rsid w:val="2A070FB7"/>
    <w:rsid w:val="2A3B0078"/>
    <w:rsid w:val="2AA31117"/>
    <w:rsid w:val="2AB43DA8"/>
    <w:rsid w:val="2AD21D23"/>
    <w:rsid w:val="2AF61122"/>
    <w:rsid w:val="2AF67453"/>
    <w:rsid w:val="2AFBD485"/>
    <w:rsid w:val="2B110340"/>
    <w:rsid w:val="2B1E7D4C"/>
    <w:rsid w:val="2B353AA7"/>
    <w:rsid w:val="2B8762AD"/>
    <w:rsid w:val="2BEC1E78"/>
    <w:rsid w:val="2CCC0350"/>
    <w:rsid w:val="2DC67E6C"/>
    <w:rsid w:val="2E291E44"/>
    <w:rsid w:val="2E884002"/>
    <w:rsid w:val="2F750593"/>
    <w:rsid w:val="2FCA0BBC"/>
    <w:rsid w:val="2FFD9781"/>
    <w:rsid w:val="304E4138"/>
    <w:rsid w:val="308F1331"/>
    <w:rsid w:val="326A72D8"/>
    <w:rsid w:val="32DC7485"/>
    <w:rsid w:val="3311686E"/>
    <w:rsid w:val="349D494B"/>
    <w:rsid w:val="34AE5ED5"/>
    <w:rsid w:val="365B6913"/>
    <w:rsid w:val="37001E48"/>
    <w:rsid w:val="3782473A"/>
    <w:rsid w:val="3842422E"/>
    <w:rsid w:val="38507FCD"/>
    <w:rsid w:val="387C57C0"/>
    <w:rsid w:val="38B0344F"/>
    <w:rsid w:val="39E76710"/>
    <w:rsid w:val="3A287454"/>
    <w:rsid w:val="3AB1503E"/>
    <w:rsid w:val="3AD64BEA"/>
    <w:rsid w:val="3AF364B7"/>
    <w:rsid w:val="3AF64E5C"/>
    <w:rsid w:val="3AF971B0"/>
    <w:rsid w:val="3B6169C8"/>
    <w:rsid w:val="3B6C511E"/>
    <w:rsid w:val="3B6F9C92"/>
    <w:rsid w:val="3C101F4E"/>
    <w:rsid w:val="3DCA2F40"/>
    <w:rsid w:val="3E611186"/>
    <w:rsid w:val="3E86299B"/>
    <w:rsid w:val="3EC62D97"/>
    <w:rsid w:val="3FDC072C"/>
    <w:rsid w:val="3FFBBC68"/>
    <w:rsid w:val="3FFF2753"/>
    <w:rsid w:val="3FFF6031"/>
    <w:rsid w:val="4042081C"/>
    <w:rsid w:val="40D7128C"/>
    <w:rsid w:val="41462848"/>
    <w:rsid w:val="414A2B7F"/>
    <w:rsid w:val="43162B51"/>
    <w:rsid w:val="43CC64ED"/>
    <w:rsid w:val="43E9BAA7"/>
    <w:rsid w:val="43F9776B"/>
    <w:rsid w:val="46D5626E"/>
    <w:rsid w:val="47486A40"/>
    <w:rsid w:val="478B7A4D"/>
    <w:rsid w:val="48DD58AD"/>
    <w:rsid w:val="492D7318"/>
    <w:rsid w:val="49C6619F"/>
    <w:rsid w:val="49F77FCA"/>
    <w:rsid w:val="4A4B06F0"/>
    <w:rsid w:val="4AB81212"/>
    <w:rsid w:val="4B3F4657"/>
    <w:rsid w:val="4B9C5862"/>
    <w:rsid w:val="4BB74194"/>
    <w:rsid w:val="4BEF1B80"/>
    <w:rsid w:val="4C5C2F8D"/>
    <w:rsid w:val="4D204F66"/>
    <w:rsid w:val="4D8D0A0C"/>
    <w:rsid w:val="4DBF1A26"/>
    <w:rsid w:val="4E3C4E24"/>
    <w:rsid w:val="4E6A373F"/>
    <w:rsid w:val="4F9A1DAF"/>
    <w:rsid w:val="4FCD0EB2"/>
    <w:rsid w:val="501E2A33"/>
    <w:rsid w:val="50D15CF8"/>
    <w:rsid w:val="50F12775"/>
    <w:rsid w:val="514C1822"/>
    <w:rsid w:val="51635A39"/>
    <w:rsid w:val="52FB52AE"/>
    <w:rsid w:val="532A16EF"/>
    <w:rsid w:val="539847EA"/>
    <w:rsid w:val="54320B04"/>
    <w:rsid w:val="56462CE4"/>
    <w:rsid w:val="569E17D5"/>
    <w:rsid w:val="57392849"/>
    <w:rsid w:val="581C7215"/>
    <w:rsid w:val="590D49C0"/>
    <w:rsid w:val="592F8996"/>
    <w:rsid w:val="5B8435E5"/>
    <w:rsid w:val="5C16520E"/>
    <w:rsid w:val="5C3B671B"/>
    <w:rsid w:val="5C402BE9"/>
    <w:rsid w:val="5C8166D1"/>
    <w:rsid w:val="5CA7E86F"/>
    <w:rsid w:val="5CBD5382"/>
    <w:rsid w:val="5E5A4D95"/>
    <w:rsid w:val="5E6261E1"/>
    <w:rsid w:val="5E7BC96D"/>
    <w:rsid w:val="5EFD5F0A"/>
    <w:rsid w:val="5EFF7233"/>
    <w:rsid w:val="5F6146EB"/>
    <w:rsid w:val="5F973DFA"/>
    <w:rsid w:val="5FF9C981"/>
    <w:rsid w:val="60F129E1"/>
    <w:rsid w:val="60F4333C"/>
    <w:rsid w:val="61A905CB"/>
    <w:rsid w:val="61F745BC"/>
    <w:rsid w:val="633A647F"/>
    <w:rsid w:val="63AA1104"/>
    <w:rsid w:val="64346872"/>
    <w:rsid w:val="64590086"/>
    <w:rsid w:val="6497A2AD"/>
    <w:rsid w:val="64990483"/>
    <w:rsid w:val="64F96CC7"/>
    <w:rsid w:val="6560526F"/>
    <w:rsid w:val="66363A30"/>
    <w:rsid w:val="66546D57"/>
    <w:rsid w:val="66CF63DE"/>
    <w:rsid w:val="671E29FA"/>
    <w:rsid w:val="676C1E7F"/>
    <w:rsid w:val="676E3E49"/>
    <w:rsid w:val="67E63DD2"/>
    <w:rsid w:val="68BC6E36"/>
    <w:rsid w:val="692844CB"/>
    <w:rsid w:val="696E342C"/>
    <w:rsid w:val="6974326C"/>
    <w:rsid w:val="697931B9"/>
    <w:rsid w:val="6A35099B"/>
    <w:rsid w:val="6B4975DA"/>
    <w:rsid w:val="6B7D0AFE"/>
    <w:rsid w:val="6BFBA5B1"/>
    <w:rsid w:val="6C3039D7"/>
    <w:rsid w:val="6C3C4916"/>
    <w:rsid w:val="6CDD4B5F"/>
    <w:rsid w:val="6CE47FD4"/>
    <w:rsid w:val="6D437B25"/>
    <w:rsid w:val="6D470552"/>
    <w:rsid w:val="6D7C6B93"/>
    <w:rsid w:val="6DAB91B0"/>
    <w:rsid w:val="6E406880"/>
    <w:rsid w:val="6E442175"/>
    <w:rsid w:val="6E4E6782"/>
    <w:rsid w:val="6ECB4E55"/>
    <w:rsid w:val="6EFEFD94"/>
    <w:rsid w:val="6F6BE909"/>
    <w:rsid w:val="6FA06558"/>
    <w:rsid w:val="709A5CAE"/>
    <w:rsid w:val="70E17439"/>
    <w:rsid w:val="72624DFA"/>
    <w:rsid w:val="72907369"/>
    <w:rsid w:val="72C40DC1"/>
    <w:rsid w:val="730E028E"/>
    <w:rsid w:val="73473BB1"/>
    <w:rsid w:val="73685BF0"/>
    <w:rsid w:val="73A86934"/>
    <w:rsid w:val="742F670E"/>
    <w:rsid w:val="746E36DA"/>
    <w:rsid w:val="75575F1C"/>
    <w:rsid w:val="759A2AAE"/>
    <w:rsid w:val="75B50E95"/>
    <w:rsid w:val="76612DCA"/>
    <w:rsid w:val="7680773A"/>
    <w:rsid w:val="77081940"/>
    <w:rsid w:val="771A4918"/>
    <w:rsid w:val="77F6F8DF"/>
    <w:rsid w:val="77FA6710"/>
    <w:rsid w:val="78055283"/>
    <w:rsid w:val="78484242"/>
    <w:rsid w:val="78C46E4A"/>
    <w:rsid w:val="790C0E64"/>
    <w:rsid w:val="79F72FA5"/>
    <w:rsid w:val="7A906F54"/>
    <w:rsid w:val="7AD26045"/>
    <w:rsid w:val="7B031548"/>
    <w:rsid w:val="7B317C53"/>
    <w:rsid w:val="7B735A7A"/>
    <w:rsid w:val="7BFB23B8"/>
    <w:rsid w:val="7C293777"/>
    <w:rsid w:val="7CB92B16"/>
    <w:rsid w:val="7D8950E1"/>
    <w:rsid w:val="7DA261A2"/>
    <w:rsid w:val="7DBEB190"/>
    <w:rsid w:val="7DDEE62F"/>
    <w:rsid w:val="7E3F2705"/>
    <w:rsid w:val="7E6F871B"/>
    <w:rsid w:val="7EA86F00"/>
    <w:rsid w:val="7ECF04E9"/>
    <w:rsid w:val="7EFE7602"/>
    <w:rsid w:val="7F4F06CF"/>
    <w:rsid w:val="7F7E0178"/>
    <w:rsid w:val="7F7FA933"/>
    <w:rsid w:val="7FCE79DC"/>
    <w:rsid w:val="7FDFF6A0"/>
    <w:rsid w:val="7FF6F5A6"/>
    <w:rsid w:val="7FFCF7DD"/>
    <w:rsid w:val="BBE5D4EE"/>
    <w:rsid w:val="BF436B02"/>
    <w:rsid w:val="BF6B4699"/>
    <w:rsid w:val="CFBF4983"/>
    <w:rsid w:val="DEF80055"/>
    <w:rsid w:val="DEFFE55F"/>
    <w:rsid w:val="DFDB064D"/>
    <w:rsid w:val="ECBF24DE"/>
    <w:rsid w:val="EEBDB574"/>
    <w:rsid w:val="EFC78C23"/>
    <w:rsid w:val="EFDAB323"/>
    <w:rsid w:val="F0E62160"/>
    <w:rsid w:val="F5FFBBEE"/>
    <w:rsid w:val="F6EFA226"/>
    <w:rsid w:val="F76FD316"/>
    <w:rsid w:val="F7F57297"/>
    <w:rsid w:val="F7FB12DD"/>
    <w:rsid w:val="F7FDC3D5"/>
    <w:rsid w:val="F885ABD4"/>
    <w:rsid w:val="FAFFCD34"/>
    <w:rsid w:val="FBDD2CCE"/>
    <w:rsid w:val="FCD6D251"/>
    <w:rsid w:val="FDFBB845"/>
    <w:rsid w:val="FEBF93A6"/>
    <w:rsid w:val="FF3CD2B9"/>
    <w:rsid w:val="FFBF0573"/>
    <w:rsid w:val="FFBF56EA"/>
    <w:rsid w:val="FFEF29A0"/>
    <w:rsid w:val="FFF5ED6A"/>
    <w:rsid w:val="FFF82E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qFormat/>
    <w:uiPriority w:val="0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tabs>
        <w:tab w:val="left" w:pos="1260"/>
      </w:tabs>
      <w:ind w:firstLine="420" w:firstLineChars="200"/>
    </w:pPr>
  </w:style>
  <w:style w:type="paragraph" w:styleId="3">
    <w:name w:val="Body Text Indent"/>
    <w:basedOn w:val="1"/>
    <w:next w:val="1"/>
    <w:qFormat/>
    <w:uiPriority w:val="99"/>
    <w:pPr>
      <w:tabs>
        <w:tab w:val="left" w:pos="1260"/>
      </w:tabs>
      <w:spacing w:line="360" w:lineRule="auto"/>
      <w:ind w:left="420" w:firstLine="735"/>
    </w:pPr>
    <w:rPr>
      <w:kern w:val="0"/>
      <w:sz w:val="20"/>
    </w:rPr>
  </w:style>
  <w:style w:type="paragraph" w:styleId="6">
    <w:name w:val="annotation text"/>
    <w:basedOn w:val="1"/>
    <w:qFormat/>
    <w:uiPriority w:val="99"/>
    <w:pPr>
      <w:jc w:val="left"/>
    </w:pPr>
    <w:rPr>
      <w:szCs w:val="24"/>
    </w:rPr>
  </w:style>
  <w:style w:type="paragraph" w:styleId="7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Emphasis"/>
    <w:basedOn w:val="12"/>
    <w:qFormat/>
    <w:uiPriority w:val="0"/>
    <w:rPr>
      <w:rFonts w:ascii="Times New Roman" w:hAnsi="Times New Roman" w:eastAsia="宋体" w:cs="Times New Roman"/>
      <w:i/>
    </w:rPr>
  </w:style>
  <w:style w:type="character" w:customStyle="1" w:styleId="15">
    <w:name w:val="at_3"/>
    <w:basedOn w:val="12"/>
    <w:qFormat/>
    <w:uiPriority w:val="0"/>
    <w:rPr>
      <w:rFonts w:asciiTheme="minorHAnsi" w:hAnsiTheme="minorHAnsi" w:eastAsiaTheme="minorEastAsia" w:cstheme="minorBidi"/>
    </w:rPr>
  </w:style>
  <w:style w:type="character" w:customStyle="1" w:styleId="16">
    <w:name w:val="font3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CharAttribute0"/>
    <w:qFormat/>
    <w:uiPriority w:val="0"/>
    <w:rPr>
      <w:rFonts w:ascii="Times New Roman" w:hAnsi="Times New Roman" w:eastAsia="宋体" w:cs="Times New Roman"/>
      <w:sz w:val="21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列出段落2"/>
    <w:basedOn w:val="1"/>
    <w:autoRedefine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21">
    <w:name w:val="font01"/>
    <w:basedOn w:val="12"/>
    <w:qFormat/>
    <w:uiPriority w:val="0"/>
    <w:rPr>
      <w:rFonts w:hint="default" w:ascii="Arial" w:hAnsi="Arial" w:eastAsia="宋体" w:cs="Arial"/>
      <w:color w:val="000000"/>
      <w:sz w:val="22"/>
      <w:szCs w:val="22"/>
      <w:u w:val="none"/>
    </w:rPr>
  </w:style>
  <w:style w:type="character" w:customStyle="1" w:styleId="22">
    <w:name w:val="页脚 Char"/>
    <w:basedOn w:val="12"/>
    <w:link w:val="7"/>
    <w:semiHidden/>
    <w:qFormat/>
    <w:uiPriority w:val="99"/>
    <w:rPr>
      <w:rFonts w:ascii="Times New Roman" w:hAnsi="Times New Roman" w:eastAsia="宋体" w:cs="Times New Roman"/>
      <w:sz w:val="18"/>
    </w:rPr>
  </w:style>
  <w:style w:type="character" w:customStyle="1" w:styleId="23">
    <w:name w:val="页眉 Char"/>
    <w:basedOn w:val="12"/>
    <w:link w:val="8"/>
    <w:semiHidden/>
    <w:qFormat/>
    <w:uiPriority w:val="99"/>
    <w:rPr>
      <w:rFonts w:ascii="Times New Roman" w:hAnsi="Times New Roman" w:eastAsia="宋体" w:cs="Times New Roman"/>
      <w:sz w:val="18"/>
    </w:rPr>
  </w:style>
  <w:style w:type="character" w:customStyle="1" w:styleId="24">
    <w:name w:val="页脚 字符"/>
    <w:basedOn w:val="12"/>
    <w:link w:val="7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5">
    <w:name w:val="页眉 字符"/>
    <w:basedOn w:val="12"/>
    <w:link w:val="8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11423</Words>
  <Characters>12811</Characters>
  <Lines>187</Lines>
  <Paragraphs>176</Paragraphs>
  <TotalTime>15</TotalTime>
  <ScaleCrop>false</ScaleCrop>
  <LinksUpToDate>false</LinksUpToDate>
  <CharactersWithSpaces>12813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2026-03-18T16:00:00Z</dcterms:created>
  <dc:creator>孙艳</dc:creator>
  <cp:lastModifiedBy>pH</cp:lastModifiedBy>
  <dcterms:modified xsi:type="dcterms:W3CDTF">2026-09-20T09:06:32Z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0CC9D248736B499DB12AACBB28041B34_13</vt:lpwstr>
  </property>
  <property fmtid="{D5CDD505-2E9C-101B-9397-08002B2CF9AE}" pid="4" name="KSOTemplateDocerSaveRecord">
    <vt:lpwstr>eyJoZGlkIjoiY2YzNGVlNGUwNzBmYTNlMjlhYTcxZWJlYzAzMmI4ODgiLCJ1c2VySWQiOiIxMjE3NTg2MjUwIn0=</vt:lpwstr>
  </property>
</Properties>
</file>